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7200" w14:textId="77777777" w:rsidR="00087859" w:rsidRDefault="00087859">
      <w:pPr>
        <w:spacing w:after="664" w:line="259" w:lineRule="auto"/>
        <w:ind w:left="1" w:firstLine="0"/>
        <w:jc w:val="right"/>
        <w:rPr>
          <w:rFonts w:ascii="Arial" w:eastAsia="Arial" w:hAnsi="Arial" w:cs="Arial"/>
          <w:b/>
          <w:bCs/>
          <w:sz w:val="40"/>
          <w:szCs w:val="40"/>
        </w:rPr>
      </w:pPr>
    </w:p>
    <w:p w14:paraId="0CCA8DF5" w14:textId="59D88D3D" w:rsidR="00F319F9" w:rsidRDefault="00683896">
      <w:pPr>
        <w:spacing w:after="664" w:line="259" w:lineRule="auto"/>
        <w:ind w:left="1" w:firstLine="0"/>
        <w:jc w:val="right"/>
      </w:pPr>
      <w:r>
        <w:rPr>
          <w:noProof/>
          <w:lang w:bidi="ar-SA"/>
        </w:rPr>
        <w:drawing>
          <wp:anchor distT="0" distB="0" distL="114300" distR="114300" simplePos="0" relativeHeight="251658240" behindDoc="0" locked="0" layoutInCell="1" allowOverlap="0" wp14:anchorId="663C963D" wp14:editId="3D5C7F39">
            <wp:simplePos x="0" y="0"/>
            <wp:positionH relativeFrom="column">
              <wp:posOffset>829</wp:posOffset>
            </wp:positionH>
            <wp:positionV relativeFrom="paragraph">
              <wp:posOffset>-582424</wp:posOffset>
            </wp:positionV>
            <wp:extent cx="1497330" cy="1506161"/>
            <wp:effectExtent l="0" t="0" r="0" b="0"/>
            <wp:wrapSquare wrapText="bothSides"/>
            <wp:docPr id="596" name="Picture 596" descr="C:\Users\gjack\AppData\Local\Microsoft\Windows\Temporary Internet Files\Content.Outlook\UIBY1P2P\USW logo Raspberry HiRes copy.jpg"/>
            <wp:cNvGraphicFramePr/>
            <a:graphic xmlns:a="http://schemas.openxmlformats.org/drawingml/2006/main">
              <a:graphicData uri="http://schemas.openxmlformats.org/drawingml/2006/picture">
                <pic:pic xmlns:pic="http://schemas.openxmlformats.org/drawingml/2006/picture">
                  <pic:nvPicPr>
                    <pic:cNvPr id="596" name="Picture 596"/>
                    <pic:cNvPicPr/>
                  </pic:nvPicPr>
                  <pic:blipFill>
                    <a:blip r:embed="rId10"/>
                    <a:stretch>
                      <a:fillRect/>
                    </a:stretch>
                  </pic:blipFill>
                  <pic:spPr>
                    <a:xfrm>
                      <a:off x="0" y="0"/>
                      <a:ext cx="1497330" cy="1506161"/>
                    </a:xfrm>
                    <a:prstGeom prst="rect">
                      <a:avLst/>
                    </a:prstGeom>
                  </pic:spPr>
                </pic:pic>
              </a:graphicData>
            </a:graphic>
          </wp:anchor>
        </w:drawing>
      </w:r>
      <w:r w:rsidR="3549C690" w:rsidRPr="53A568E9">
        <w:rPr>
          <w:rFonts w:ascii="Arial" w:eastAsia="Arial" w:hAnsi="Arial" w:cs="Arial"/>
          <w:b/>
          <w:bCs/>
          <w:sz w:val="40"/>
          <w:szCs w:val="40"/>
        </w:rPr>
        <w:t>Degree Outcomes Statement 202</w:t>
      </w:r>
      <w:r w:rsidR="00087859">
        <w:rPr>
          <w:rFonts w:ascii="Arial" w:eastAsia="Arial" w:hAnsi="Arial" w:cs="Arial"/>
          <w:b/>
          <w:bCs/>
          <w:sz w:val="40"/>
          <w:szCs w:val="40"/>
        </w:rPr>
        <w:t>2</w:t>
      </w:r>
    </w:p>
    <w:p w14:paraId="51B4AB59" w14:textId="6E89E45C" w:rsidR="00F319F9" w:rsidRDefault="00683896">
      <w:pPr>
        <w:spacing w:after="170" w:line="259" w:lineRule="auto"/>
        <w:ind w:left="1" w:firstLine="0"/>
        <w:rPr>
          <w:rFonts w:ascii="Arial" w:eastAsia="Arial" w:hAnsi="Arial" w:cs="Arial"/>
        </w:rPr>
      </w:pPr>
      <w:r>
        <w:rPr>
          <w:rFonts w:ascii="Arial" w:eastAsia="Arial" w:hAnsi="Arial" w:cs="Arial"/>
        </w:rPr>
        <w:t xml:space="preserve"> </w:t>
      </w:r>
    </w:p>
    <w:p w14:paraId="0581541C" w14:textId="77777777" w:rsidR="001A3B75" w:rsidRDefault="001A3B75">
      <w:pPr>
        <w:spacing w:after="170" w:line="259" w:lineRule="auto"/>
        <w:ind w:left="1" w:firstLine="0"/>
      </w:pPr>
    </w:p>
    <w:p w14:paraId="1B1E49C7" w14:textId="77777777" w:rsidR="00F319F9" w:rsidRDefault="00683896" w:rsidP="001A3B75">
      <w:pPr>
        <w:pStyle w:val="Heading1"/>
        <w:spacing w:after="0"/>
        <w:ind w:left="347" w:hanging="360"/>
      </w:pPr>
      <w:r>
        <w:t xml:space="preserve">Institutional Degree Classification Profile </w:t>
      </w:r>
    </w:p>
    <w:p w14:paraId="740125F7" w14:textId="1136185E" w:rsidR="00F319F9" w:rsidRDefault="00683896">
      <w:pPr>
        <w:ind w:left="-4" w:right="162"/>
      </w:pPr>
      <w:r>
        <w:t>The degree classification profile for the University of South Wales (USW) for the academic years 201</w:t>
      </w:r>
      <w:r w:rsidR="005C212B">
        <w:t>6</w:t>
      </w:r>
      <w:r>
        <w:t>/1</w:t>
      </w:r>
      <w:r w:rsidR="005C212B">
        <w:t>7 to 2020</w:t>
      </w:r>
      <w:r>
        <w:t>/</w:t>
      </w:r>
      <w:r w:rsidR="005C212B">
        <w:t>21</w:t>
      </w:r>
      <w:r>
        <w:t xml:space="preserve"> is illustrated in the table below.   </w:t>
      </w:r>
    </w:p>
    <w:p w14:paraId="55B4A33E" w14:textId="77777777" w:rsidR="001A3B75" w:rsidRDefault="001A3B75">
      <w:pPr>
        <w:ind w:left="-4" w:right="162"/>
      </w:pPr>
    </w:p>
    <w:tbl>
      <w:tblPr>
        <w:tblStyle w:val="TableGrid"/>
        <w:tblW w:w="8497" w:type="dxa"/>
        <w:tblInd w:w="265" w:type="dxa"/>
        <w:tblCellMar>
          <w:top w:w="74" w:type="dxa"/>
          <w:left w:w="108" w:type="dxa"/>
          <w:bottom w:w="4" w:type="dxa"/>
          <w:right w:w="55" w:type="dxa"/>
        </w:tblCellMar>
        <w:tblLook w:val="04A0" w:firstRow="1" w:lastRow="0" w:firstColumn="1" w:lastColumn="0" w:noHBand="0" w:noVBand="1"/>
      </w:tblPr>
      <w:tblGrid>
        <w:gridCol w:w="1215"/>
        <w:gridCol w:w="1187"/>
        <w:gridCol w:w="1559"/>
        <w:gridCol w:w="1560"/>
        <w:gridCol w:w="1559"/>
        <w:gridCol w:w="1417"/>
      </w:tblGrid>
      <w:tr w:rsidR="00F319F9" w14:paraId="331E554F" w14:textId="77777777" w:rsidTr="00A356B5">
        <w:trPr>
          <w:trHeight w:val="1188"/>
        </w:trPr>
        <w:tc>
          <w:tcPr>
            <w:tcW w:w="1215" w:type="dxa"/>
            <w:tcBorders>
              <w:top w:val="single" w:sz="4" w:space="0" w:color="000000"/>
              <w:left w:val="single" w:sz="4" w:space="0" w:color="000000"/>
              <w:bottom w:val="single" w:sz="4" w:space="0" w:color="000000"/>
              <w:right w:val="single" w:sz="4" w:space="0" w:color="000000"/>
            </w:tcBorders>
            <w:shd w:val="clear" w:color="auto" w:fill="C00F34"/>
            <w:vAlign w:val="bottom"/>
          </w:tcPr>
          <w:p w14:paraId="6B1A6A4A" w14:textId="77777777" w:rsidR="00F319F9" w:rsidRDefault="00683896">
            <w:pPr>
              <w:spacing w:line="259" w:lineRule="auto"/>
              <w:ind w:left="0" w:firstLine="0"/>
            </w:pPr>
            <w:r>
              <w:rPr>
                <w:b/>
                <w:color w:val="FFFFFF"/>
              </w:rPr>
              <w:t xml:space="preserve">Academic Year </w:t>
            </w:r>
          </w:p>
        </w:tc>
        <w:tc>
          <w:tcPr>
            <w:tcW w:w="1187" w:type="dxa"/>
            <w:tcBorders>
              <w:top w:val="single" w:sz="4" w:space="0" w:color="000000"/>
              <w:left w:val="single" w:sz="4" w:space="0" w:color="000000"/>
              <w:bottom w:val="single" w:sz="4" w:space="0" w:color="000000"/>
              <w:right w:val="single" w:sz="4" w:space="0" w:color="000000"/>
            </w:tcBorders>
            <w:shd w:val="clear" w:color="auto" w:fill="C00F34"/>
            <w:vAlign w:val="bottom"/>
          </w:tcPr>
          <w:p w14:paraId="6F6C98EF" w14:textId="77777777" w:rsidR="00F319F9" w:rsidRDefault="00683896">
            <w:pPr>
              <w:spacing w:line="259" w:lineRule="auto"/>
              <w:ind w:left="1" w:firstLine="0"/>
            </w:pPr>
            <w:r>
              <w:rPr>
                <w:b/>
                <w:color w:val="FFFFFF"/>
              </w:rPr>
              <w:t xml:space="preserve">First class honours </w:t>
            </w:r>
          </w:p>
        </w:tc>
        <w:tc>
          <w:tcPr>
            <w:tcW w:w="1559" w:type="dxa"/>
            <w:tcBorders>
              <w:top w:val="single" w:sz="4" w:space="0" w:color="000000"/>
              <w:left w:val="single" w:sz="4" w:space="0" w:color="000000"/>
              <w:bottom w:val="single" w:sz="4" w:space="0" w:color="000000"/>
              <w:right w:val="single" w:sz="4" w:space="0" w:color="000000"/>
            </w:tcBorders>
            <w:shd w:val="clear" w:color="auto" w:fill="C00F34"/>
            <w:vAlign w:val="bottom"/>
          </w:tcPr>
          <w:p w14:paraId="3433F300" w14:textId="77777777" w:rsidR="00F319F9" w:rsidRDefault="00683896">
            <w:pPr>
              <w:spacing w:line="259" w:lineRule="auto"/>
              <w:ind w:left="2" w:firstLine="0"/>
            </w:pPr>
            <w:r>
              <w:rPr>
                <w:b/>
                <w:color w:val="FFFFFF"/>
              </w:rPr>
              <w:t xml:space="preserve">Upper </w:t>
            </w:r>
            <w:proofErr w:type="gramStart"/>
            <w:r>
              <w:rPr>
                <w:b/>
                <w:color w:val="FFFFFF"/>
              </w:rPr>
              <w:t>second class</w:t>
            </w:r>
            <w:proofErr w:type="gramEnd"/>
            <w:r>
              <w:rPr>
                <w:b/>
                <w:color w:val="FFFFFF"/>
              </w:rPr>
              <w:t xml:space="preserve"> honours </w:t>
            </w:r>
          </w:p>
        </w:tc>
        <w:tc>
          <w:tcPr>
            <w:tcW w:w="1560" w:type="dxa"/>
            <w:tcBorders>
              <w:top w:val="single" w:sz="4" w:space="0" w:color="000000"/>
              <w:left w:val="single" w:sz="4" w:space="0" w:color="000000"/>
              <w:bottom w:val="single" w:sz="4" w:space="0" w:color="000000"/>
              <w:right w:val="single" w:sz="4" w:space="0" w:color="000000"/>
            </w:tcBorders>
            <w:shd w:val="clear" w:color="auto" w:fill="C00F34"/>
            <w:vAlign w:val="bottom"/>
          </w:tcPr>
          <w:p w14:paraId="47FE0950" w14:textId="77777777" w:rsidR="00F319F9" w:rsidRDefault="00683896">
            <w:pPr>
              <w:spacing w:line="259" w:lineRule="auto"/>
              <w:ind w:left="1" w:firstLine="0"/>
              <w:jc w:val="both"/>
            </w:pPr>
            <w:r>
              <w:rPr>
                <w:b/>
                <w:color w:val="FFFFFF"/>
              </w:rPr>
              <w:t xml:space="preserve">Lower </w:t>
            </w:r>
            <w:proofErr w:type="gramStart"/>
            <w:r>
              <w:rPr>
                <w:b/>
                <w:color w:val="FFFFFF"/>
              </w:rPr>
              <w:t>second class</w:t>
            </w:r>
            <w:proofErr w:type="gramEnd"/>
            <w:r>
              <w:rPr>
                <w:b/>
                <w:color w:val="FFFFFF"/>
              </w:rPr>
              <w:t xml:space="preserve"> honours </w:t>
            </w:r>
          </w:p>
        </w:tc>
        <w:tc>
          <w:tcPr>
            <w:tcW w:w="1559" w:type="dxa"/>
            <w:tcBorders>
              <w:top w:val="single" w:sz="4" w:space="0" w:color="000000"/>
              <w:left w:val="single" w:sz="4" w:space="0" w:color="000000"/>
              <w:bottom w:val="single" w:sz="4" w:space="0" w:color="000000"/>
              <w:right w:val="single" w:sz="4" w:space="0" w:color="000000"/>
            </w:tcBorders>
            <w:shd w:val="clear" w:color="auto" w:fill="C00F34"/>
            <w:vAlign w:val="bottom"/>
          </w:tcPr>
          <w:p w14:paraId="77B81262" w14:textId="77777777" w:rsidR="00F319F9" w:rsidRDefault="00683896">
            <w:pPr>
              <w:spacing w:line="259" w:lineRule="auto"/>
              <w:ind w:left="1" w:firstLine="0"/>
            </w:pPr>
            <w:r>
              <w:rPr>
                <w:b/>
                <w:color w:val="FFFFFF"/>
              </w:rPr>
              <w:t xml:space="preserve">Third class honours/Pass </w:t>
            </w:r>
          </w:p>
        </w:tc>
        <w:tc>
          <w:tcPr>
            <w:tcW w:w="1417" w:type="dxa"/>
            <w:tcBorders>
              <w:top w:val="single" w:sz="4" w:space="0" w:color="000000"/>
              <w:left w:val="single" w:sz="4" w:space="0" w:color="000000"/>
              <w:bottom w:val="single" w:sz="4" w:space="0" w:color="000000"/>
              <w:right w:val="single" w:sz="4" w:space="0" w:color="000000"/>
            </w:tcBorders>
            <w:shd w:val="clear" w:color="auto" w:fill="C00F34"/>
            <w:vAlign w:val="bottom"/>
          </w:tcPr>
          <w:p w14:paraId="6BA62F03" w14:textId="77777777" w:rsidR="00F319F9" w:rsidRDefault="00683896">
            <w:pPr>
              <w:spacing w:line="259" w:lineRule="auto"/>
              <w:ind w:left="2" w:firstLine="0"/>
            </w:pPr>
            <w:r>
              <w:rPr>
                <w:b/>
                <w:color w:val="FFFFFF"/>
              </w:rPr>
              <w:t xml:space="preserve">Good </w:t>
            </w:r>
          </w:p>
          <w:p w14:paraId="61667834" w14:textId="77777777" w:rsidR="00F319F9" w:rsidRDefault="00683896">
            <w:pPr>
              <w:spacing w:line="259" w:lineRule="auto"/>
              <w:ind w:left="2" w:firstLine="0"/>
            </w:pPr>
            <w:r>
              <w:rPr>
                <w:b/>
                <w:color w:val="FFFFFF"/>
              </w:rPr>
              <w:t xml:space="preserve">Honours </w:t>
            </w:r>
          </w:p>
        </w:tc>
      </w:tr>
      <w:tr w:rsidR="00F319F9" w14:paraId="454E5807" w14:textId="77777777" w:rsidTr="00A356B5">
        <w:trPr>
          <w:trHeight w:val="305"/>
        </w:trPr>
        <w:tc>
          <w:tcPr>
            <w:tcW w:w="1215" w:type="dxa"/>
            <w:tcBorders>
              <w:top w:val="single" w:sz="4" w:space="0" w:color="000000"/>
              <w:left w:val="single" w:sz="4" w:space="0" w:color="000000"/>
              <w:bottom w:val="single" w:sz="4" w:space="0" w:color="000000"/>
              <w:right w:val="single" w:sz="4" w:space="0" w:color="000000"/>
            </w:tcBorders>
          </w:tcPr>
          <w:p w14:paraId="570394D7" w14:textId="77777777" w:rsidR="00F319F9" w:rsidRDefault="00683896">
            <w:pPr>
              <w:spacing w:line="259" w:lineRule="auto"/>
              <w:ind w:left="0" w:firstLine="0"/>
            </w:pPr>
            <w:r>
              <w:t xml:space="preserve">2016/17 </w:t>
            </w:r>
          </w:p>
        </w:tc>
        <w:tc>
          <w:tcPr>
            <w:tcW w:w="1187" w:type="dxa"/>
            <w:tcBorders>
              <w:top w:val="single" w:sz="4" w:space="0" w:color="000000"/>
              <w:left w:val="single" w:sz="4" w:space="0" w:color="000000"/>
              <w:bottom w:val="single" w:sz="4" w:space="0" w:color="000000"/>
              <w:right w:val="single" w:sz="4" w:space="0" w:color="000000"/>
            </w:tcBorders>
          </w:tcPr>
          <w:p w14:paraId="3F71DB91" w14:textId="1A7B2EE4" w:rsidR="00F319F9" w:rsidRDefault="00683896">
            <w:pPr>
              <w:spacing w:line="259" w:lineRule="auto"/>
              <w:ind w:left="0" w:right="52" w:firstLine="0"/>
              <w:jc w:val="right"/>
            </w:pPr>
            <w:r>
              <w:t>23.</w:t>
            </w:r>
            <w:r w:rsidR="008B6E95">
              <w:t>1</w:t>
            </w:r>
            <w: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E010CE4" w14:textId="3024F696" w:rsidR="00F319F9" w:rsidRDefault="00683896">
            <w:pPr>
              <w:spacing w:line="259" w:lineRule="auto"/>
              <w:ind w:left="0" w:right="48" w:firstLine="0"/>
              <w:jc w:val="right"/>
            </w:pPr>
            <w:r>
              <w:t>44.</w:t>
            </w:r>
            <w:r w:rsidR="00C65878">
              <w:t>2</w:t>
            </w: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95837AE" w14:textId="77777777" w:rsidR="00F319F9" w:rsidRDefault="00683896">
            <w:pPr>
              <w:spacing w:line="259" w:lineRule="auto"/>
              <w:ind w:left="0" w:right="50" w:firstLine="0"/>
              <w:jc w:val="right"/>
            </w:pPr>
            <w:r>
              <w:t xml:space="preserve">26.3% </w:t>
            </w:r>
          </w:p>
        </w:tc>
        <w:tc>
          <w:tcPr>
            <w:tcW w:w="1559" w:type="dxa"/>
            <w:tcBorders>
              <w:top w:val="single" w:sz="4" w:space="0" w:color="000000"/>
              <w:left w:val="single" w:sz="4" w:space="0" w:color="000000"/>
              <w:bottom w:val="single" w:sz="4" w:space="0" w:color="000000"/>
              <w:right w:val="single" w:sz="4" w:space="0" w:color="000000"/>
            </w:tcBorders>
          </w:tcPr>
          <w:p w14:paraId="285CF889" w14:textId="77777777" w:rsidR="00F319F9" w:rsidRDefault="00683896">
            <w:pPr>
              <w:spacing w:line="259" w:lineRule="auto"/>
              <w:ind w:left="0" w:right="49" w:firstLine="0"/>
              <w:jc w:val="right"/>
            </w:pPr>
            <w:r>
              <w:t xml:space="preserve">6.5% </w:t>
            </w:r>
          </w:p>
        </w:tc>
        <w:tc>
          <w:tcPr>
            <w:tcW w:w="1417" w:type="dxa"/>
            <w:tcBorders>
              <w:top w:val="single" w:sz="4" w:space="0" w:color="000000"/>
              <w:left w:val="single" w:sz="4" w:space="0" w:color="000000"/>
              <w:bottom w:val="single" w:sz="4" w:space="0" w:color="000000"/>
              <w:right w:val="single" w:sz="4" w:space="0" w:color="000000"/>
            </w:tcBorders>
          </w:tcPr>
          <w:p w14:paraId="11B76FF2" w14:textId="77777777" w:rsidR="00F319F9" w:rsidRDefault="00683896">
            <w:pPr>
              <w:spacing w:line="259" w:lineRule="auto"/>
              <w:ind w:left="0" w:right="50" w:firstLine="0"/>
              <w:jc w:val="right"/>
            </w:pPr>
            <w:r>
              <w:t xml:space="preserve">67.2% </w:t>
            </w:r>
          </w:p>
        </w:tc>
      </w:tr>
      <w:tr w:rsidR="00F319F9" w14:paraId="457613B0" w14:textId="77777777" w:rsidTr="00A356B5">
        <w:trPr>
          <w:trHeight w:val="305"/>
        </w:trPr>
        <w:tc>
          <w:tcPr>
            <w:tcW w:w="1215" w:type="dxa"/>
            <w:tcBorders>
              <w:top w:val="single" w:sz="4" w:space="0" w:color="000000"/>
              <w:left w:val="single" w:sz="4" w:space="0" w:color="000000"/>
              <w:bottom w:val="single" w:sz="4" w:space="0" w:color="000000"/>
              <w:right w:val="single" w:sz="4" w:space="0" w:color="000000"/>
            </w:tcBorders>
          </w:tcPr>
          <w:p w14:paraId="6993D876" w14:textId="77777777" w:rsidR="00F319F9" w:rsidRDefault="00683896">
            <w:pPr>
              <w:spacing w:line="259" w:lineRule="auto"/>
              <w:ind w:left="0" w:firstLine="0"/>
            </w:pPr>
            <w:r>
              <w:t xml:space="preserve">2017/18 </w:t>
            </w:r>
          </w:p>
        </w:tc>
        <w:tc>
          <w:tcPr>
            <w:tcW w:w="1187" w:type="dxa"/>
            <w:tcBorders>
              <w:top w:val="single" w:sz="4" w:space="0" w:color="000000"/>
              <w:left w:val="single" w:sz="4" w:space="0" w:color="000000"/>
              <w:bottom w:val="single" w:sz="4" w:space="0" w:color="000000"/>
              <w:right w:val="single" w:sz="4" w:space="0" w:color="000000"/>
            </w:tcBorders>
          </w:tcPr>
          <w:p w14:paraId="67E4117D" w14:textId="7E1961FF" w:rsidR="00F319F9" w:rsidRDefault="00683896">
            <w:pPr>
              <w:spacing w:line="259" w:lineRule="auto"/>
              <w:ind w:left="0" w:right="52" w:firstLine="0"/>
              <w:jc w:val="right"/>
            </w:pPr>
            <w:r>
              <w:t>25.</w:t>
            </w:r>
            <w:r w:rsidR="008B6E95">
              <w:t>3</w:t>
            </w:r>
            <w: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37FD475" w14:textId="77777777" w:rsidR="00F319F9" w:rsidRDefault="00683896">
            <w:pPr>
              <w:spacing w:line="259" w:lineRule="auto"/>
              <w:ind w:left="0" w:right="48" w:firstLine="0"/>
              <w:jc w:val="right"/>
            </w:pPr>
            <w:r>
              <w:t xml:space="preserve">42.0% </w:t>
            </w:r>
          </w:p>
        </w:tc>
        <w:tc>
          <w:tcPr>
            <w:tcW w:w="1560" w:type="dxa"/>
            <w:tcBorders>
              <w:top w:val="single" w:sz="4" w:space="0" w:color="000000"/>
              <w:left w:val="single" w:sz="4" w:space="0" w:color="000000"/>
              <w:bottom w:val="single" w:sz="4" w:space="0" w:color="000000"/>
              <w:right w:val="single" w:sz="4" w:space="0" w:color="000000"/>
            </w:tcBorders>
          </w:tcPr>
          <w:p w14:paraId="4A06637F" w14:textId="77777777" w:rsidR="00F319F9" w:rsidRDefault="00683896">
            <w:pPr>
              <w:spacing w:line="259" w:lineRule="auto"/>
              <w:ind w:left="0" w:right="50" w:firstLine="0"/>
              <w:jc w:val="right"/>
            </w:pPr>
            <w:r>
              <w:t xml:space="preserve">25.9% </w:t>
            </w:r>
          </w:p>
        </w:tc>
        <w:tc>
          <w:tcPr>
            <w:tcW w:w="1559" w:type="dxa"/>
            <w:tcBorders>
              <w:top w:val="single" w:sz="4" w:space="0" w:color="000000"/>
              <w:left w:val="single" w:sz="4" w:space="0" w:color="000000"/>
              <w:bottom w:val="single" w:sz="4" w:space="0" w:color="000000"/>
              <w:right w:val="single" w:sz="4" w:space="0" w:color="000000"/>
            </w:tcBorders>
          </w:tcPr>
          <w:p w14:paraId="7223D48D" w14:textId="77777777" w:rsidR="00F319F9" w:rsidRDefault="00683896">
            <w:pPr>
              <w:spacing w:line="259" w:lineRule="auto"/>
              <w:ind w:left="0" w:right="49" w:firstLine="0"/>
              <w:jc w:val="right"/>
            </w:pPr>
            <w:r>
              <w:t xml:space="preserve">6.8% </w:t>
            </w:r>
          </w:p>
        </w:tc>
        <w:tc>
          <w:tcPr>
            <w:tcW w:w="1417" w:type="dxa"/>
            <w:tcBorders>
              <w:top w:val="single" w:sz="4" w:space="0" w:color="000000"/>
              <w:left w:val="single" w:sz="4" w:space="0" w:color="000000"/>
              <w:bottom w:val="single" w:sz="4" w:space="0" w:color="000000"/>
              <w:right w:val="single" w:sz="4" w:space="0" w:color="000000"/>
            </w:tcBorders>
          </w:tcPr>
          <w:p w14:paraId="639E281F" w14:textId="77777777" w:rsidR="00F319F9" w:rsidRDefault="00683896">
            <w:pPr>
              <w:spacing w:line="259" w:lineRule="auto"/>
              <w:ind w:left="0" w:right="50" w:firstLine="0"/>
              <w:jc w:val="right"/>
            </w:pPr>
            <w:r>
              <w:t xml:space="preserve">67.3% </w:t>
            </w:r>
          </w:p>
        </w:tc>
      </w:tr>
      <w:tr w:rsidR="00F319F9" w14:paraId="7219439E" w14:textId="77777777" w:rsidTr="00A356B5">
        <w:trPr>
          <w:trHeight w:val="305"/>
        </w:trPr>
        <w:tc>
          <w:tcPr>
            <w:tcW w:w="1215" w:type="dxa"/>
            <w:tcBorders>
              <w:top w:val="single" w:sz="4" w:space="0" w:color="000000"/>
              <w:left w:val="single" w:sz="4" w:space="0" w:color="000000"/>
              <w:bottom w:val="single" w:sz="4" w:space="0" w:color="000000"/>
              <w:right w:val="single" w:sz="4" w:space="0" w:color="000000"/>
            </w:tcBorders>
          </w:tcPr>
          <w:p w14:paraId="5DDE2C64" w14:textId="77777777" w:rsidR="00F319F9" w:rsidRDefault="00683896">
            <w:pPr>
              <w:spacing w:line="259" w:lineRule="auto"/>
              <w:ind w:left="0" w:firstLine="0"/>
            </w:pPr>
            <w:r>
              <w:t xml:space="preserve">2018/19 </w:t>
            </w:r>
          </w:p>
        </w:tc>
        <w:tc>
          <w:tcPr>
            <w:tcW w:w="1187" w:type="dxa"/>
            <w:tcBorders>
              <w:top w:val="single" w:sz="4" w:space="0" w:color="000000"/>
              <w:left w:val="single" w:sz="4" w:space="0" w:color="000000"/>
              <w:bottom w:val="single" w:sz="4" w:space="0" w:color="000000"/>
              <w:right w:val="single" w:sz="4" w:space="0" w:color="000000"/>
            </w:tcBorders>
          </w:tcPr>
          <w:p w14:paraId="2F59CFEC" w14:textId="77777777" w:rsidR="00F319F9" w:rsidRDefault="00683896">
            <w:pPr>
              <w:spacing w:line="259" w:lineRule="auto"/>
              <w:ind w:left="0" w:right="52" w:firstLine="0"/>
              <w:jc w:val="right"/>
            </w:pPr>
            <w:r>
              <w:t xml:space="preserve">26.9% </w:t>
            </w:r>
          </w:p>
        </w:tc>
        <w:tc>
          <w:tcPr>
            <w:tcW w:w="1559" w:type="dxa"/>
            <w:tcBorders>
              <w:top w:val="single" w:sz="4" w:space="0" w:color="000000"/>
              <w:left w:val="single" w:sz="4" w:space="0" w:color="000000"/>
              <w:bottom w:val="single" w:sz="4" w:space="0" w:color="000000"/>
              <w:right w:val="single" w:sz="4" w:space="0" w:color="000000"/>
            </w:tcBorders>
          </w:tcPr>
          <w:p w14:paraId="238A512D" w14:textId="77777777" w:rsidR="00F319F9" w:rsidRDefault="00683896">
            <w:pPr>
              <w:spacing w:line="259" w:lineRule="auto"/>
              <w:ind w:left="0" w:right="48" w:firstLine="0"/>
              <w:jc w:val="right"/>
            </w:pPr>
            <w:r>
              <w:t xml:space="preserve">43.5% </w:t>
            </w:r>
          </w:p>
        </w:tc>
        <w:tc>
          <w:tcPr>
            <w:tcW w:w="1560" w:type="dxa"/>
            <w:tcBorders>
              <w:top w:val="single" w:sz="4" w:space="0" w:color="000000"/>
              <w:left w:val="single" w:sz="4" w:space="0" w:color="000000"/>
              <w:bottom w:val="single" w:sz="4" w:space="0" w:color="000000"/>
              <w:right w:val="single" w:sz="4" w:space="0" w:color="000000"/>
            </w:tcBorders>
          </w:tcPr>
          <w:p w14:paraId="0C58E6EB" w14:textId="77777777" w:rsidR="00F319F9" w:rsidRDefault="00683896">
            <w:pPr>
              <w:spacing w:line="259" w:lineRule="auto"/>
              <w:ind w:left="0" w:right="50" w:firstLine="0"/>
              <w:jc w:val="right"/>
            </w:pPr>
            <w:r>
              <w:t xml:space="preserve">23.3% </w:t>
            </w:r>
          </w:p>
        </w:tc>
        <w:tc>
          <w:tcPr>
            <w:tcW w:w="1559" w:type="dxa"/>
            <w:tcBorders>
              <w:top w:val="single" w:sz="4" w:space="0" w:color="000000"/>
              <w:left w:val="single" w:sz="4" w:space="0" w:color="000000"/>
              <w:bottom w:val="single" w:sz="4" w:space="0" w:color="000000"/>
              <w:right w:val="single" w:sz="4" w:space="0" w:color="000000"/>
            </w:tcBorders>
          </w:tcPr>
          <w:p w14:paraId="499F885B" w14:textId="77777777" w:rsidR="00F319F9" w:rsidRDefault="00683896">
            <w:pPr>
              <w:spacing w:line="259" w:lineRule="auto"/>
              <w:ind w:left="0" w:right="49" w:firstLine="0"/>
              <w:jc w:val="right"/>
            </w:pPr>
            <w:r>
              <w:t xml:space="preserve">6.3% </w:t>
            </w:r>
          </w:p>
        </w:tc>
        <w:tc>
          <w:tcPr>
            <w:tcW w:w="1417" w:type="dxa"/>
            <w:tcBorders>
              <w:top w:val="single" w:sz="4" w:space="0" w:color="000000"/>
              <w:left w:val="single" w:sz="4" w:space="0" w:color="000000"/>
              <w:bottom w:val="single" w:sz="4" w:space="0" w:color="000000"/>
              <w:right w:val="single" w:sz="4" w:space="0" w:color="000000"/>
            </w:tcBorders>
          </w:tcPr>
          <w:p w14:paraId="083EF3BD" w14:textId="77777777" w:rsidR="00F319F9" w:rsidRDefault="00683896">
            <w:pPr>
              <w:spacing w:line="259" w:lineRule="auto"/>
              <w:ind w:left="0" w:right="50" w:firstLine="0"/>
              <w:jc w:val="right"/>
            </w:pPr>
            <w:r>
              <w:t xml:space="preserve">70.4% </w:t>
            </w:r>
          </w:p>
        </w:tc>
      </w:tr>
      <w:tr w:rsidR="00A356B5" w14:paraId="39CC82C3" w14:textId="77777777" w:rsidTr="00A356B5">
        <w:trPr>
          <w:trHeight w:val="305"/>
        </w:trPr>
        <w:tc>
          <w:tcPr>
            <w:tcW w:w="1215" w:type="dxa"/>
            <w:tcBorders>
              <w:top w:val="single" w:sz="4" w:space="0" w:color="000000"/>
              <w:left w:val="single" w:sz="4" w:space="0" w:color="000000"/>
              <w:bottom w:val="single" w:sz="4" w:space="0" w:color="000000"/>
              <w:right w:val="single" w:sz="4" w:space="0" w:color="000000"/>
            </w:tcBorders>
          </w:tcPr>
          <w:p w14:paraId="2B774D31" w14:textId="16A40C81" w:rsidR="00A356B5" w:rsidRPr="00907CA9" w:rsidRDefault="00A356B5">
            <w:pPr>
              <w:spacing w:line="259" w:lineRule="auto"/>
              <w:ind w:left="0" w:firstLine="0"/>
            </w:pPr>
            <w:r w:rsidRPr="00907CA9">
              <w:t>2019/20</w:t>
            </w:r>
          </w:p>
        </w:tc>
        <w:tc>
          <w:tcPr>
            <w:tcW w:w="1187" w:type="dxa"/>
            <w:tcBorders>
              <w:top w:val="single" w:sz="4" w:space="0" w:color="000000"/>
              <w:left w:val="single" w:sz="4" w:space="0" w:color="000000"/>
              <w:bottom w:val="single" w:sz="4" w:space="0" w:color="000000"/>
              <w:right w:val="single" w:sz="4" w:space="0" w:color="000000"/>
            </w:tcBorders>
          </w:tcPr>
          <w:p w14:paraId="1AD90DDF" w14:textId="1D2CA72E" w:rsidR="00A356B5" w:rsidRPr="00907CA9" w:rsidRDefault="008B6E95">
            <w:pPr>
              <w:spacing w:line="259" w:lineRule="auto"/>
              <w:ind w:left="0" w:right="52" w:firstLine="0"/>
              <w:jc w:val="right"/>
            </w:pPr>
            <w:r w:rsidRPr="00907CA9">
              <w:t>34.5%</w:t>
            </w:r>
          </w:p>
        </w:tc>
        <w:tc>
          <w:tcPr>
            <w:tcW w:w="1559" w:type="dxa"/>
            <w:tcBorders>
              <w:top w:val="single" w:sz="4" w:space="0" w:color="000000"/>
              <w:left w:val="single" w:sz="4" w:space="0" w:color="000000"/>
              <w:bottom w:val="single" w:sz="4" w:space="0" w:color="000000"/>
              <w:right w:val="single" w:sz="4" w:space="0" w:color="000000"/>
            </w:tcBorders>
          </w:tcPr>
          <w:p w14:paraId="13F5D8EA" w14:textId="16F62413" w:rsidR="00A356B5" w:rsidRPr="00907CA9" w:rsidRDefault="00C65878">
            <w:pPr>
              <w:spacing w:line="259" w:lineRule="auto"/>
              <w:ind w:left="0" w:right="48" w:firstLine="0"/>
              <w:jc w:val="right"/>
            </w:pPr>
            <w:r w:rsidRPr="00907CA9">
              <w:t>41.5%</w:t>
            </w:r>
          </w:p>
        </w:tc>
        <w:tc>
          <w:tcPr>
            <w:tcW w:w="1560" w:type="dxa"/>
            <w:tcBorders>
              <w:top w:val="single" w:sz="4" w:space="0" w:color="000000"/>
              <w:left w:val="single" w:sz="4" w:space="0" w:color="000000"/>
              <w:bottom w:val="single" w:sz="4" w:space="0" w:color="000000"/>
              <w:right w:val="single" w:sz="4" w:space="0" w:color="000000"/>
            </w:tcBorders>
          </w:tcPr>
          <w:p w14:paraId="598F45A0" w14:textId="51351147" w:rsidR="00A356B5" w:rsidRPr="00907CA9" w:rsidRDefault="00C65878">
            <w:pPr>
              <w:spacing w:line="259" w:lineRule="auto"/>
              <w:ind w:left="0" w:right="50" w:firstLine="0"/>
              <w:jc w:val="right"/>
            </w:pPr>
            <w:r w:rsidRPr="00907CA9">
              <w:t>19.7%</w:t>
            </w:r>
          </w:p>
        </w:tc>
        <w:tc>
          <w:tcPr>
            <w:tcW w:w="1559" w:type="dxa"/>
            <w:tcBorders>
              <w:top w:val="single" w:sz="4" w:space="0" w:color="000000"/>
              <w:left w:val="single" w:sz="4" w:space="0" w:color="000000"/>
              <w:bottom w:val="single" w:sz="4" w:space="0" w:color="000000"/>
              <w:right w:val="single" w:sz="4" w:space="0" w:color="000000"/>
            </w:tcBorders>
          </w:tcPr>
          <w:p w14:paraId="686EE2F0" w14:textId="060D9EA1" w:rsidR="00A356B5" w:rsidRPr="00907CA9" w:rsidRDefault="00C65878">
            <w:pPr>
              <w:spacing w:line="259" w:lineRule="auto"/>
              <w:ind w:left="0" w:right="49" w:firstLine="0"/>
              <w:jc w:val="right"/>
            </w:pPr>
            <w:r w:rsidRPr="00907CA9">
              <w:t>4.3%</w:t>
            </w:r>
          </w:p>
        </w:tc>
        <w:tc>
          <w:tcPr>
            <w:tcW w:w="1417" w:type="dxa"/>
            <w:tcBorders>
              <w:top w:val="single" w:sz="4" w:space="0" w:color="000000"/>
              <w:left w:val="single" w:sz="4" w:space="0" w:color="000000"/>
              <w:bottom w:val="single" w:sz="4" w:space="0" w:color="000000"/>
              <w:right w:val="single" w:sz="4" w:space="0" w:color="000000"/>
            </w:tcBorders>
          </w:tcPr>
          <w:p w14:paraId="01050CE6" w14:textId="0CF2A972" w:rsidR="00A356B5" w:rsidRPr="00907CA9" w:rsidRDefault="006E7A91">
            <w:pPr>
              <w:spacing w:line="259" w:lineRule="auto"/>
              <w:ind w:left="0" w:right="50" w:firstLine="0"/>
              <w:jc w:val="right"/>
            </w:pPr>
            <w:r w:rsidRPr="00907CA9">
              <w:t>76.0%</w:t>
            </w:r>
          </w:p>
        </w:tc>
      </w:tr>
      <w:tr w:rsidR="00907CA9" w14:paraId="4DB69591" w14:textId="77777777" w:rsidTr="00907CA9">
        <w:trPr>
          <w:trHeight w:val="305"/>
        </w:trPr>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0818DA63" w14:textId="179314E6" w:rsidR="00907CA9" w:rsidRPr="00907CA9" w:rsidRDefault="00907CA9">
            <w:pPr>
              <w:spacing w:line="259" w:lineRule="auto"/>
              <w:ind w:left="0" w:firstLine="0"/>
            </w:pPr>
            <w:r w:rsidRPr="00907CA9">
              <w:t>2020/21</w:t>
            </w:r>
          </w:p>
        </w:tc>
        <w:tc>
          <w:tcPr>
            <w:tcW w:w="1187" w:type="dxa"/>
            <w:tcBorders>
              <w:top w:val="single" w:sz="4" w:space="0" w:color="000000"/>
              <w:left w:val="single" w:sz="4" w:space="0" w:color="000000"/>
              <w:bottom w:val="single" w:sz="4" w:space="0" w:color="000000"/>
              <w:right w:val="single" w:sz="4" w:space="0" w:color="000000"/>
            </w:tcBorders>
          </w:tcPr>
          <w:p w14:paraId="3C7EBF7D" w14:textId="06B4B5CB" w:rsidR="00907CA9" w:rsidRPr="00907CA9" w:rsidRDefault="005C212B" w:rsidP="005C212B">
            <w:pPr>
              <w:spacing w:line="259" w:lineRule="auto"/>
              <w:ind w:left="0" w:right="52" w:firstLine="0"/>
              <w:jc w:val="right"/>
            </w:pPr>
            <w:r>
              <w:t>36.2%</w:t>
            </w:r>
          </w:p>
        </w:tc>
        <w:tc>
          <w:tcPr>
            <w:tcW w:w="1559" w:type="dxa"/>
            <w:tcBorders>
              <w:top w:val="single" w:sz="4" w:space="0" w:color="000000"/>
              <w:left w:val="single" w:sz="4" w:space="0" w:color="000000"/>
              <w:bottom w:val="single" w:sz="4" w:space="0" w:color="000000"/>
              <w:right w:val="single" w:sz="4" w:space="0" w:color="000000"/>
            </w:tcBorders>
          </w:tcPr>
          <w:p w14:paraId="6584E8BD" w14:textId="272357FC" w:rsidR="00907CA9" w:rsidRPr="00907CA9" w:rsidRDefault="005C212B">
            <w:pPr>
              <w:spacing w:line="259" w:lineRule="auto"/>
              <w:ind w:left="0" w:right="48" w:firstLine="0"/>
              <w:jc w:val="right"/>
            </w:pPr>
            <w:r>
              <w:t>39.8%</w:t>
            </w:r>
          </w:p>
        </w:tc>
        <w:tc>
          <w:tcPr>
            <w:tcW w:w="1560" w:type="dxa"/>
            <w:tcBorders>
              <w:top w:val="single" w:sz="4" w:space="0" w:color="000000"/>
              <w:left w:val="single" w:sz="4" w:space="0" w:color="000000"/>
              <w:bottom w:val="single" w:sz="4" w:space="0" w:color="000000"/>
              <w:right w:val="single" w:sz="4" w:space="0" w:color="000000"/>
            </w:tcBorders>
          </w:tcPr>
          <w:p w14:paraId="36E17BB1" w14:textId="72ED3048" w:rsidR="00907CA9" w:rsidRPr="00907CA9" w:rsidRDefault="005C212B" w:rsidP="005C212B">
            <w:pPr>
              <w:spacing w:line="259" w:lineRule="auto"/>
              <w:ind w:left="0" w:right="50" w:firstLine="0"/>
              <w:jc w:val="right"/>
            </w:pPr>
            <w:r>
              <w:t>18.45%</w:t>
            </w:r>
          </w:p>
        </w:tc>
        <w:tc>
          <w:tcPr>
            <w:tcW w:w="1559" w:type="dxa"/>
            <w:tcBorders>
              <w:top w:val="single" w:sz="4" w:space="0" w:color="000000"/>
              <w:left w:val="single" w:sz="4" w:space="0" w:color="000000"/>
              <w:bottom w:val="single" w:sz="4" w:space="0" w:color="000000"/>
              <w:right w:val="single" w:sz="4" w:space="0" w:color="000000"/>
            </w:tcBorders>
          </w:tcPr>
          <w:p w14:paraId="035317C3" w14:textId="67426701" w:rsidR="00907CA9" w:rsidRPr="00907CA9" w:rsidRDefault="005C212B" w:rsidP="005C212B">
            <w:pPr>
              <w:spacing w:line="259" w:lineRule="auto"/>
              <w:ind w:left="0" w:right="49" w:firstLine="0"/>
              <w:jc w:val="right"/>
            </w:pPr>
            <w:r>
              <w:t>3.97%</w:t>
            </w:r>
          </w:p>
        </w:tc>
        <w:tc>
          <w:tcPr>
            <w:tcW w:w="1417" w:type="dxa"/>
            <w:tcBorders>
              <w:top w:val="single" w:sz="4" w:space="0" w:color="000000"/>
              <w:left w:val="single" w:sz="4" w:space="0" w:color="000000"/>
              <w:bottom w:val="single" w:sz="4" w:space="0" w:color="000000"/>
              <w:right w:val="single" w:sz="4" w:space="0" w:color="000000"/>
            </w:tcBorders>
          </w:tcPr>
          <w:p w14:paraId="25C33AE1" w14:textId="4BD92030" w:rsidR="00907CA9" w:rsidRPr="00907CA9" w:rsidRDefault="00865EBB">
            <w:pPr>
              <w:spacing w:line="259" w:lineRule="auto"/>
              <w:ind w:left="0" w:right="50" w:firstLine="0"/>
              <w:jc w:val="right"/>
            </w:pPr>
            <w:r>
              <w:t>76.2%</w:t>
            </w:r>
          </w:p>
        </w:tc>
      </w:tr>
    </w:tbl>
    <w:p w14:paraId="4E43F9CF" w14:textId="77777777" w:rsidR="00F319F9" w:rsidRDefault="00683896">
      <w:pPr>
        <w:spacing w:after="18" w:line="259" w:lineRule="auto"/>
        <w:ind w:left="1" w:firstLine="0"/>
      </w:pPr>
      <w:r>
        <w:t xml:space="preserve"> </w:t>
      </w:r>
    </w:p>
    <w:p w14:paraId="20D36C51" w14:textId="4CC2D0FB" w:rsidR="00F319F9" w:rsidRDefault="00683896">
      <w:pPr>
        <w:spacing w:line="275" w:lineRule="auto"/>
        <w:ind w:left="1" w:right="172" w:firstLine="0"/>
        <w:jc w:val="both"/>
      </w:pPr>
      <w:r>
        <w:t xml:space="preserve">The data shows that that the University’s profile of First and Upper </w:t>
      </w:r>
      <w:proofErr w:type="gramStart"/>
      <w:r>
        <w:t>Second Class</w:t>
      </w:r>
      <w:proofErr w:type="gramEnd"/>
      <w:r>
        <w:t xml:space="preserve"> honours degrees (good honours) has shown growth over this period but not to the same levels as either the UK or Welsh sectors or at to the same levels as the University Alliance; USW’s Mission Group.  </w:t>
      </w:r>
    </w:p>
    <w:p w14:paraId="68D81E06" w14:textId="266AFC1C" w:rsidR="00865EBB" w:rsidRDefault="005C212B">
      <w:pPr>
        <w:spacing w:line="275" w:lineRule="auto"/>
        <w:ind w:left="1" w:right="172" w:firstLine="0"/>
        <w:jc w:val="both"/>
      </w:pPr>
      <w:r>
        <w:rPr>
          <w:noProof/>
          <w:lang w:bidi="ar-SA"/>
        </w:rPr>
        <w:drawing>
          <wp:inline distT="0" distB="0" distL="0" distR="0" wp14:anchorId="71567C0F" wp14:editId="676BDF98">
            <wp:extent cx="6404610" cy="2266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6607" cy="2267657"/>
                    </a:xfrm>
                    <a:prstGeom prst="rect">
                      <a:avLst/>
                    </a:prstGeom>
                  </pic:spPr>
                </pic:pic>
              </a:graphicData>
            </a:graphic>
          </wp:inline>
        </w:drawing>
      </w:r>
    </w:p>
    <w:p w14:paraId="7FD6A5B0" w14:textId="1A113249" w:rsidR="00865EBB" w:rsidRDefault="00865EBB">
      <w:pPr>
        <w:spacing w:line="275" w:lineRule="auto"/>
        <w:ind w:left="1" w:right="172" w:firstLine="0"/>
        <w:jc w:val="both"/>
      </w:pPr>
    </w:p>
    <w:p w14:paraId="58C6EB5C" w14:textId="77777777" w:rsidR="001C04FF" w:rsidRDefault="001C04FF">
      <w:pPr>
        <w:spacing w:line="275" w:lineRule="auto"/>
        <w:ind w:left="1" w:right="172" w:firstLine="0"/>
        <w:jc w:val="both"/>
      </w:pPr>
    </w:p>
    <w:p w14:paraId="69EF2B67" w14:textId="76E595CC" w:rsidR="00F319F9" w:rsidRDefault="00F319F9" w:rsidP="00287C3C">
      <w:pPr>
        <w:spacing w:line="259" w:lineRule="auto"/>
        <w:ind w:left="1" w:right="-777" w:firstLine="0"/>
        <w:jc w:val="center"/>
      </w:pPr>
    </w:p>
    <w:p w14:paraId="1760EF4E" w14:textId="709EC2E4" w:rsidR="00F319F9" w:rsidRDefault="00683896">
      <w:pPr>
        <w:spacing w:after="158" w:line="259" w:lineRule="auto"/>
        <w:ind w:left="0" w:right="360" w:firstLine="0"/>
        <w:jc w:val="right"/>
      </w:pPr>
      <w:r>
        <w:t xml:space="preserve"> </w:t>
      </w:r>
    </w:p>
    <w:p w14:paraId="7CC9317D" w14:textId="77777777" w:rsidR="00F319F9" w:rsidRDefault="00683896">
      <w:pPr>
        <w:spacing w:after="238"/>
        <w:ind w:left="-4" w:right="162"/>
      </w:pPr>
      <w:r>
        <w:t xml:space="preserve">Increases in the profile of ‘good honours’ degrees have been attributable to </w:t>
      </w:r>
      <w:proofErr w:type="gramStart"/>
      <w:r>
        <w:t>a number of</w:t>
      </w:r>
      <w:proofErr w:type="gramEnd"/>
      <w:r>
        <w:t xml:space="preserve"> reasons: </w:t>
      </w:r>
    </w:p>
    <w:p w14:paraId="3CF0C806" w14:textId="77777777" w:rsidR="00F319F9" w:rsidRDefault="00683896">
      <w:pPr>
        <w:numPr>
          <w:ilvl w:val="0"/>
          <w:numId w:val="1"/>
        </w:numPr>
        <w:ind w:right="162" w:hanging="360"/>
      </w:pPr>
      <w:r>
        <w:lastRenderedPageBreak/>
        <w:t xml:space="preserve">Improvements in weaker subject areas providing increased consistency across the portfolio, notably within the subject areas of Computer Science, Law, Business &amp; Administrative Studies and Education.   We consistently review across a range of metrics the performance of courses and this includes the breadth of good honours awards, at both ends of the range awarded.   </w:t>
      </w:r>
    </w:p>
    <w:p w14:paraId="16E0B890" w14:textId="7A2D93D8" w:rsidR="001A3B75" w:rsidRPr="00907CA9" w:rsidRDefault="6A85905B" w:rsidP="04E2E27A">
      <w:pPr>
        <w:numPr>
          <w:ilvl w:val="0"/>
          <w:numId w:val="1"/>
        </w:numPr>
        <w:ind w:right="162" w:hanging="360"/>
      </w:pPr>
      <w:r w:rsidRPr="00907CA9">
        <w:t xml:space="preserve">The no-detriment </w:t>
      </w:r>
      <w:r w:rsidR="71D43EE5" w:rsidRPr="00907CA9">
        <w:t xml:space="preserve">approach </w:t>
      </w:r>
      <w:r w:rsidRPr="00907CA9">
        <w:t>applied in 2019/20,</w:t>
      </w:r>
      <w:r w:rsidR="00907CA9" w:rsidRPr="00907CA9">
        <w:t xml:space="preserve"> 20/21</w:t>
      </w:r>
      <w:r w:rsidRPr="00907CA9">
        <w:t xml:space="preserve"> this caused rises across the sector. </w:t>
      </w:r>
    </w:p>
    <w:p w14:paraId="4F526D34" w14:textId="77777777" w:rsidR="00F319F9" w:rsidRDefault="00683896">
      <w:pPr>
        <w:spacing w:line="259" w:lineRule="auto"/>
        <w:ind w:left="362" w:firstLine="0"/>
      </w:pPr>
      <w:r>
        <w:rPr>
          <w:b/>
        </w:rPr>
        <w:t xml:space="preserve"> </w:t>
      </w:r>
    </w:p>
    <w:p w14:paraId="2834357D" w14:textId="77777777" w:rsidR="00F319F9" w:rsidRDefault="00683896">
      <w:pPr>
        <w:pStyle w:val="Heading1"/>
        <w:ind w:left="347" w:hanging="360"/>
      </w:pPr>
      <w:r>
        <w:t xml:space="preserve">Assessment and Marking Practices </w:t>
      </w:r>
    </w:p>
    <w:p w14:paraId="75F4CED4" w14:textId="77777777" w:rsidR="00F319F9" w:rsidRDefault="00683896">
      <w:pPr>
        <w:spacing w:after="209"/>
        <w:ind w:left="-4" w:right="162"/>
      </w:pPr>
      <w:r>
        <w:t xml:space="preserve">The validation and review of courses provide the opportunity to quality assure the initial design of courses, ensuring that learning outcomes and assessment are clearly mapped against the QAA quality code, meet PSRB requirements, consider QAA Subject benchmark statements and align to the national </w:t>
      </w:r>
      <w:proofErr w:type="gramStart"/>
      <w:r>
        <w:t>qualifications</w:t>
      </w:r>
      <w:proofErr w:type="gramEnd"/>
      <w:r>
        <w:t xml:space="preserve"> framework. This provides assurance that degree standards are maintained and that external experts, (PSRBs representatives, service users, students, employers, stakeholders) as identified by the QAA, both </w:t>
      </w:r>
      <w:proofErr w:type="gramStart"/>
      <w:r>
        <w:t>inform</w:t>
      </w:r>
      <w:proofErr w:type="gramEnd"/>
      <w:r>
        <w:t xml:space="preserve"> and quality assure our courses.</w:t>
      </w:r>
      <w:r>
        <w:rPr>
          <w:rFonts w:ascii="Arial" w:eastAsia="Arial" w:hAnsi="Arial" w:cs="Arial"/>
          <w:b/>
        </w:rPr>
        <w:t xml:space="preserve"> </w:t>
      </w:r>
    </w:p>
    <w:p w14:paraId="4BAF93BA" w14:textId="77777777" w:rsidR="00F319F9" w:rsidRDefault="00683896">
      <w:pPr>
        <w:spacing w:after="134"/>
        <w:ind w:left="-4" w:right="162"/>
      </w:pPr>
      <w:r>
        <w:t xml:space="preserve">In 2015, the University developed an Academic Blueprint which outlines a set of identified principles to ensure consistency of approach to developing and implementing courses, ensuring that no course is over assessed, that a course wide approach to assessment is adopted and that modes of assessment are varied and develop employability attributes.   </w:t>
      </w:r>
    </w:p>
    <w:p w14:paraId="29C31206" w14:textId="65088AB8" w:rsidR="00F319F9" w:rsidRPr="00E567CC" w:rsidRDefault="00683896">
      <w:pPr>
        <w:ind w:left="-4" w:right="162"/>
        <w:rPr>
          <w:color w:val="auto"/>
        </w:rPr>
      </w:pPr>
      <w:r>
        <w:t>An Assessment for Learning Policy (2015) operationalises the assessment elements of the Blueprint, by providing principles of assessment and requirements and thus drives enhancement in assessment practice.  A University Assessment Tariff additionally supports the Assessment for Learning Policy. The Tariff comprises of approved modes of assessment, maximum word counts, presentation timings and exam/test duration. Any amendments to courses, whether at revalidation or modification, are reviewed against the policy criteria.</w:t>
      </w:r>
      <w:r>
        <w:rPr>
          <w:color w:val="2E74B5"/>
        </w:rPr>
        <w:t xml:space="preserve"> </w:t>
      </w:r>
      <w:r w:rsidR="00E567CC" w:rsidRPr="00E567CC">
        <w:rPr>
          <w:color w:val="auto"/>
        </w:rPr>
        <w:t>The Assessment Tariff was reviewed and updated during the 2020/21 academic year in response to the changing pedagogical advancements especially in response to practice developed throughout the pandemic</w:t>
      </w:r>
      <w:r w:rsidR="00E567CC">
        <w:rPr>
          <w:color w:val="auto"/>
        </w:rPr>
        <w:t xml:space="preserve"> and was implemented in September 2021</w:t>
      </w:r>
      <w:r w:rsidR="00E567CC" w:rsidRPr="00E567CC">
        <w:rPr>
          <w:color w:val="auto"/>
        </w:rPr>
        <w:t>. The assessment for learning policy has also undergone a review with the key principles updated as well as supporting requirements and guidance. This included new requirements with regards to the use of RUBRICS and use of student choice within assessment design.</w:t>
      </w:r>
      <w:r w:rsidR="00E567CC">
        <w:rPr>
          <w:color w:val="auto"/>
        </w:rPr>
        <w:t xml:space="preserve"> This will be fully implemented from September 2022.</w:t>
      </w:r>
    </w:p>
    <w:p w14:paraId="3B9746A6" w14:textId="77777777" w:rsidR="00F319F9" w:rsidRDefault="00683896">
      <w:pPr>
        <w:spacing w:line="259" w:lineRule="auto"/>
        <w:ind w:left="2" w:firstLine="0"/>
      </w:pPr>
      <w:r>
        <w:t xml:space="preserve"> </w:t>
      </w:r>
    </w:p>
    <w:p w14:paraId="419DBEB8" w14:textId="121164CA" w:rsidR="00F319F9" w:rsidRDefault="00683896" w:rsidP="00E567CC">
      <w:pPr>
        <w:ind w:left="-4" w:right="162"/>
      </w:pPr>
      <w:proofErr w:type="gramStart"/>
      <w:r>
        <w:t>An annual course level Assessment Dialogue,</w:t>
      </w:r>
      <w:proofErr w:type="gramEnd"/>
      <w:r>
        <w:t xml:space="preserve"> is required at the end of each academic year, where staff course teams and students meet to review the course assessment offering, providing an opportunity to reflect on current practice and make changes for the forth-coming year.  Assessment dialogue guidance outlines the expectations and necessary resulting actions. These dialogues are informed by external examiner comments and data sets (i.e. NSS, good honours, Leo, withdrawal figures) together with feedback and</w:t>
      </w:r>
      <w:r w:rsidR="00E567CC">
        <w:t xml:space="preserve"> reflection from both staff, </w:t>
      </w:r>
      <w:r>
        <w:t>students</w:t>
      </w:r>
      <w:r w:rsidR="00E567CC">
        <w:t xml:space="preserve"> and external examiners</w:t>
      </w:r>
      <w:r>
        <w:t xml:space="preserve">. Assessment dialogues provide an opportunity for staff development through reflection and understanding of sector data. They also link in to the continuous monitoring process with actions set against any issues raised and the modification process where assessments can be amended for future delivery. </w:t>
      </w:r>
    </w:p>
    <w:p w14:paraId="5B7950E2" w14:textId="77777777" w:rsidR="00E567CC" w:rsidRDefault="00E567CC" w:rsidP="00E567CC">
      <w:pPr>
        <w:ind w:left="-4" w:right="162"/>
      </w:pPr>
    </w:p>
    <w:p w14:paraId="5BAA7C92" w14:textId="45E5F99C" w:rsidR="00F319F9" w:rsidRDefault="00683896">
      <w:pPr>
        <w:ind w:left="-4" w:right="162"/>
      </w:pPr>
      <w:r>
        <w:t>Another element of our quality framework that we use to ensure consistency to support the practices above are the Regulations for Taught Courses, these include areas such as marking scales</w:t>
      </w:r>
      <w:r w:rsidR="00E567CC">
        <w:t xml:space="preserve">, </w:t>
      </w:r>
      <w:r w:rsidR="00926B92">
        <w:t>regulations related to</w:t>
      </w:r>
      <w:r>
        <w:t xml:space="preserve"> progression and award. </w:t>
      </w:r>
    </w:p>
    <w:p w14:paraId="3679E42D" w14:textId="77777777" w:rsidR="00F319F9" w:rsidRDefault="00683896">
      <w:pPr>
        <w:spacing w:line="259" w:lineRule="auto"/>
        <w:ind w:left="1" w:firstLine="0"/>
      </w:pPr>
      <w:r>
        <w:t xml:space="preserve"> </w:t>
      </w:r>
    </w:p>
    <w:p w14:paraId="7D3364D7" w14:textId="22660EED" w:rsidR="00F319F9" w:rsidRDefault="00683896">
      <w:pPr>
        <w:ind w:left="-4" w:right="162"/>
      </w:pPr>
      <w:r>
        <w:lastRenderedPageBreak/>
        <w:t xml:space="preserve">All academic staff new to HE </w:t>
      </w:r>
      <w:proofErr w:type="gramStart"/>
      <w:r>
        <w:t>have</w:t>
      </w:r>
      <w:proofErr w:type="gramEnd"/>
      <w:r>
        <w:t xml:space="preserve"> to complete the PGCLTHE through which they are introduced to the QAA Code of Practice, all aspects of course design and quality assurance processes. Further workshops covering all aspects of assessment and marking are provided by the Centre for Enhancement for Learning and Teaching. The university’s requirement for all academic staff to achieve Fellowship of Advance HE ensures that staff meet the dimensions and Areas of Activity of the UKPSF, including A3 - Assessment and Feedback. </w:t>
      </w:r>
    </w:p>
    <w:p w14:paraId="37B08BC9" w14:textId="77777777" w:rsidR="00F319F9" w:rsidRDefault="00683896">
      <w:pPr>
        <w:spacing w:line="259" w:lineRule="auto"/>
        <w:ind w:left="1" w:firstLine="0"/>
      </w:pPr>
      <w:r>
        <w:t xml:space="preserve"> </w:t>
      </w:r>
    </w:p>
    <w:p w14:paraId="0AEF6548" w14:textId="77777777" w:rsidR="00F319F9" w:rsidRDefault="00683896">
      <w:pPr>
        <w:ind w:left="-4" w:right="162"/>
      </w:pPr>
      <w:r>
        <w:t xml:space="preserve">An Advance HE's external examiner (EE) professional development programme, delivered internally, enables staff to benchmark their understanding against sector norms. The appointment of External Examiners is overseen by a panel of senior academic and professional staff.  Externals appointed are often allocated a mentor to support them and wherever possible there is an overlap between Examiners to ensure continuity of understanding.  </w:t>
      </w:r>
    </w:p>
    <w:p w14:paraId="1D0D24AB" w14:textId="77777777" w:rsidR="00F319F9" w:rsidRDefault="00683896">
      <w:pPr>
        <w:spacing w:after="19" w:line="259" w:lineRule="auto"/>
        <w:ind w:left="361" w:firstLine="0"/>
      </w:pPr>
      <w:r>
        <w:rPr>
          <w:rFonts w:ascii="Arial" w:eastAsia="Arial" w:hAnsi="Arial" w:cs="Arial"/>
          <w:b/>
        </w:rPr>
        <w:t xml:space="preserve"> </w:t>
      </w:r>
    </w:p>
    <w:p w14:paraId="1C447FBA" w14:textId="77777777" w:rsidR="00F319F9" w:rsidRDefault="00683896">
      <w:pPr>
        <w:pStyle w:val="Heading1"/>
        <w:ind w:left="347" w:hanging="360"/>
      </w:pPr>
      <w:r>
        <w:t xml:space="preserve">Academic Governance </w:t>
      </w:r>
    </w:p>
    <w:p w14:paraId="0AE4C09D" w14:textId="120E07E1" w:rsidR="00F319F9" w:rsidRDefault="00683896">
      <w:pPr>
        <w:spacing w:after="204"/>
        <w:ind w:left="-4" w:right="162"/>
      </w:pPr>
      <w:r>
        <w:t xml:space="preserve">Academic governance is essential to protecting the value of qualifications that are awarded by the University. Academic Board provides an Annual report to the Board of Governors which provides assurance to them that quality and standards are being maintained. As part of the HEFCW Quality Assessment Framework for Wales, the Board of Governors are asked to confirm </w:t>
      </w:r>
      <w:proofErr w:type="gramStart"/>
      <w:r>
        <w:t>a number of</w:t>
      </w:r>
      <w:proofErr w:type="gramEnd"/>
      <w:r>
        <w:t xml:space="preserve"> statements on an annual basis including, for providers with degree awarding powers, that the standards of awards for which they are responsible have been appropriately set and maintained. To assist the Governors in making that assurance, there is a reporting mechanism that feeds up through the institution via Faculty and Institutional level Quality Assurance Committee (FQAC and QAC) to Academic Board. There is also a Partnership Quality Sub Committee (of QAC) which oversees any Partnership arrangements.  The University has moved to a position of </w:t>
      </w:r>
      <w:r w:rsidR="00470EA2">
        <w:t>risk-based</w:t>
      </w:r>
      <w:r>
        <w:t xml:space="preserve"> quality assurance. A key part of this is the Continuous monitoring process which ensures that course leaders </w:t>
      </w:r>
      <w:proofErr w:type="gramStart"/>
      <w:r>
        <w:t>have to</w:t>
      </w:r>
      <w:proofErr w:type="gramEnd"/>
      <w:r>
        <w:t xml:space="preserve"> establish a risk rating for their course. One of the key indicators in this process and areas for review is degree outcomes. These are reported on an annual basis at Course, </w:t>
      </w:r>
      <w:r w:rsidR="00470EA2">
        <w:t>School,</w:t>
      </w:r>
      <w:r>
        <w:t xml:space="preserve"> and Faculty level through FQAC and QAC. Discussion is held at both these committees about comparability of performance within (FQAC) and across faculties (QAC), clear actions are set to address any identified issues. The process also involves a senior auditor at Faculty level. These are senior members of staff who are external to the </w:t>
      </w:r>
      <w:proofErr w:type="gramStart"/>
      <w:r>
        <w:t>Faculty</w:t>
      </w:r>
      <w:proofErr w:type="gramEnd"/>
      <w:r>
        <w:t xml:space="preserve"> and bring an external view to discussions held within the Faculty and allow for the sharing of good practice. Partner colleges complete the same </w:t>
      </w:r>
      <w:r w:rsidR="00470EA2">
        <w:t>process,</w:t>
      </w:r>
      <w:r>
        <w:t xml:space="preserve"> and their commentaries are fed into USW course level reporting and a review of their reports are presented at both QAC and Academic Board. Should the outcome levels fall outside set parameters the risk rating would be </w:t>
      </w:r>
      <w:r w:rsidR="00470EA2">
        <w:t>raised,</w:t>
      </w:r>
      <w:r>
        <w:t xml:space="preserve"> and a response made for action in the corresponding action plan. This information is also reviewed at Assessment Boards with regards to performance of cohorts in comparison to previous cohorts and university performance indicators. The External Examiner is asked to comment annually on maintenance of standards through their engagement with assessment processes such as assessment boards and moderation and – an institutional level report that reviews their findings is presented to QAC and Academic Board for discussion and assurance.</w:t>
      </w:r>
      <w:r w:rsidR="004F7856">
        <w:t xml:space="preserve"> A </w:t>
      </w:r>
      <w:r w:rsidR="00470EA2">
        <w:t>two-tier</w:t>
      </w:r>
      <w:r w:rsidR="004F7856">
        <w:t xml:space="preserve"> external examiner system was introduced within USW in 2020, there are now Subject and Super Externals. The Super was introduced to provide oversight and comment on consistency of application of regulations at our Progression and Award Assessment Boards. </w:t>
      </w:r>
      <w:r>
        <w:t xml:space="preserve"> Academic staff and external assurers are also asked to comment on outcomes at re-validation events. A sub-committee of QAC is the Regulations Sub-committee which meets regularly throughout the academic year. Regulations are published on an annual basis, but the committee provides an opportunity for areas of review to be carried out with an aim to make recommendations to QAC for any regulatory change. The regulations related to </w:t>
      </w:r>
      <w:r>
        <w:lastRenderedPageBreak/>
        <w:t xml:space="preserve">degree outcomes and learning and teaching related practices have been reviewed twice at an institutional level in the last </w:t>
      </w:r>
      <w:r w:rsidR="00907CA9">
        <w:t>six</w:t>
      </w:r>
      <w:r>
        <w:t xml:space="preserve"> years.  </w:t>
      </w:r>
    </w:p>
    <w:p w14:paraId="11A2830A" w14:textId="4AEC364D" w:rsidR="00907CA9" w:rsidRDefault="00907CA9">
      <w:pPr>
        <w:spacing w:after="204"/>
        <w:ind w:left="-4" w:right="162"/>
      </w:pPr>
      <w:r>
        <w:t xml:space="preserve">A series of papers were presented to the Quality Assurance Committee from May 2021 to May 2022 regarding the overall </w:t>
      </w:r>
      <w:r w:rsidR="00926B92">
        <w:t>position</w:t>
      </w:r>
      <w:r>
        <w:t xml:space="preserve"> of degree outcomes in USW, with subsequent more focused reports commissioned</w:t>
      </w:r>
      <w:r w:rsidR="004F7856">
        <w:t xml:space="preserve"> these included impact of the No Detriment Approach and outcomes for overseas domiciled students</w:t>
      </w:r>
      <w:r>
        <w:t xml:space="preserve">.  </w:t>
      </w:r>
      <w:r w:rsidR="00926B92">
        <w:t>An institutional level action plan has been created as a response and will be monitored by the Quality Assurance Committee.</w:t>
      </w:r>
    </w:p>
    <w:p w14:paraId="04BE09CD" w14:textId="77777777" w:rsidR="00F319F9" w:rsidRDefault="00683896">
      <w:pPr>
        <w:pStyle w:val="Heading1"/>
        <w:ind w:left="347" w:hanging="360"/>
      </w:pPr>
      <w:r>
        <w:t xml:space="preserve">Classification Algorithms </w:t>
      </w:r>
    </w:p>
    <w:p w14:paraId="098AAAE2" w14:textId="77777777" w:rsidR="00F319F9" w:rsidRDefault="00683896">
      <w:pPr>
        <w:spacing w:after="208"/>
        <w:ind w:left="-4" w:right="162"/>
      </w:pPr>
      <w:r>
        <w:t xml:space="preserve">The University of South Wales (USW) classification regulations are published within its </w:t>
      </w:r>
      <w:hyperlink r:id="rId12">
        <w:r>
          <w:rPr>
            <w:color w:val="0000FF"/>
            <w:u w:val="single" w:color="0000FF"/>
          </w:rPr>
          <w:t>Regulations</w:t>
        </w:r>
      </w:hyperlink>
      <w:hyperlink r:id="rId13">
        <w:r>
          <w:rPr>
            <w:color w:val="0000FF"/>
          </w:rPr>
          <w:t xml:space="preserve"> </w:t>
        </w:r>
      </w:hyperlink>
      <w:hyperlink r:id="rId14">
        <w:r>
          <w:rPr>
            <w:color w:val="0000FF"/>
            <w:u w:val="single" w:color="0000FF"/>
          </w:rPr>
          <w:t xml:space="preserve">for Taught Courses. </w:t>
        </w:r>
      </w:hyperlink>
      <w:hyperlink r:id="rId15">
        <w:r>
          <w:t xml:space="preserve"> </w:t>
        </w:r>
      </w:hyperlink>
      <w:r>
        <w:t xml:space="preserve">These regulations remain unchanged from those in existence at the time of the institution’s creation in April 2013.  USW uses two algorithms to ascertain a student’s classification at degree level: </w:t>
      </w:r>
    </w:p>
    <w:p w14:paraId="27CA566D" w14:textId="77777777" w:rsidR="00F319F9" w:rsidRDefault="00683896">
      <w:pPr>
        <w:spacing w:after="152"/>
        <w:ind w:left="-4" w:right="162"/>
      </w:pPr>
      <w:r>
        <w:rPr>
          <w:u w:val="single" w:color="000000"/>
        </w:rPr>
        <w:t>Method 1</w:t>
      </w:r>
      <w:r>
        <w:t xml:space="preserve">: Calculating the average of the marks from the 180 credits obtained from the best 60 credits at level 5 and the 120 credits at level 6.  </w:t>
      </w:r>
    </w:p>
    <w:p w14:paraId="18626187" w14:textId="77777777" w:rsidR="00F319F9" w:rsidRDefault="00683896">
      <w:pPr>
        <w:spacing w:after="156"/>
        <w:ind w:left="-4" w:right="162"/>
      </w:pPr>
      <w:r>
        <w:rPr>
          <w:u w:val="single" w:color="000000"/>
        </w:rPr>
        <w:t>Method 2</w:t>
      </w:r>
      <w:r>
        <w:t xml:space="preserve">: Calculate the average of the marks from the 120 level 6 credits.  </w:t>
      </w:r>
    </w:p>
    <w:p w14:paraId="114427ED" w14:textId="77777777" w:rsidR="00F319F9" w:rsidRDefault="00683896">
      <w:pPr>
        <w:ind w:left="-4" w:right="162"/>
      </w:pPr>
      <w:r>
        <w:t xml:space="preserve">The student classification is then determined using the higher of the two averages calculated based on the following table:  </w:t>
      </w:r>
    </w:p>
    <w:tbl>
      <w:tblPr>
        <w:tblStyle w:val="TableGrid"/>
        <w:tblW w:w="9014" w:type="dxa"/>
        <w:tblInd w:w="7" w:type="dxa"/>
        <w:tblCellMar>
          <w:top w:w="44" w:type="dxa"/>
          <w:left w:w="107" w:type="dxa"/>
          <w:right w:w="115" w:type="dxa"/>
        </w:tblCellMar>
        <w:tblLook w:val="04A0" w:firstRow="1" w:lastRow="0" w:firstColumn="1" w:lastColumn="0" w:noHBand="0" w:noVBand="1"/>
      </w:tblPr>
      <w:tblGrid>
        <w:gridCol w:w="4506"/>
        <w:gridCol w:w="4508"/>
      </w:tblGrid>
      <w:tr w:rsidR="00F319F9" w14:paraId="6AD1F38A" w14:textId="77777777">
        <w:trPr>
          <w:trHeight w:val="456"/>
        </w:trPr>
        <w:tc>
          <w:tcPr>
            <w:tcW w:w="4506" w:type="dxa"/>
            <w:tcBorders>
              <w:top w:val="single" w:sz="4" w:space="0" w:color="000000"/>
              <w:left w:val="single" w:sz="4" w:space="0" w:color="000000"/>
              <w:bottom w:val="single" w:sz="4" w:space="0" w:color="000000"/>
              <w:right w:val="single" w:sz="4" w:space="0" w:color="000000"/>
            </w:tcBorders>
            <w:shd w:val="clear" w:color="auto" w:fill="C00F34"/>
          </w:tcPr>
          <w:p w14:paraId="7EBC6531" w14:textId="77777777" w:rsidR="00F319F9" w:rsidRDefault="00683896">
            <w:pPr>
              <w:spacing w:line="259" w:lineRule="auto"/>
              <w:ind w:left="0" w:firstLine="0"/>
            </w:pPr>
            <w:r>
              <w:rPr>
                <w:b/>
                <w:color w:val="FFFFFF"/>
              </w:rPr>
              <w:t xml:space="preserve">Mean % </w:t>
            </w:r>
          </w:p>
        </w:tc>
        <w:tc>
          <w:tcPr>
            <w:tcW w:w="4508" w:type="dxa"/>
            <w:tcBorders>
              <w:top w:val="single" w:sz="4" w:space="0" w:color="000000"/>
              <w:left w:val="single" w:sz="4" w:space="0" w:color="000000"/>
              <w:bottom w:val="single" w:sz="4" w:space="0" w:color="000000"/>
              <w:right w:val="single" w:sz="4" w:space="0" w:color="000000"/>
            </w:tcBorders>
            <w:shd w:val="clear" w:color="auto" w:fill="C00F34"/>
          </w:tcPr>
          <w:p w14:paraId="1C830E8D" w14:textId="77777777" w:rsidR="00F319F9" w:rsidRDefault="00683896">
            <w:pPr>
              <w:spacing w:line="259" w:lineRule="auto"/>
              <w:ind w:left="1" w:firstLine="0"/>
            </w:pPr>
            <w:r>
              <w:rPr>
                <w:b/>
                <w:color w:val="FFFFFF"/>
              </w:rPr>
              <w:t xml:space="preserve">Classification </w:t>
            </w:r>
          </w:p>
        </w:tc>
      </w:tr>
      <w:tr w:rsidR="00F319F9" w14:paraId="4658A106" w14:textId="77777777">
        <w:trPr>
          <w:trHeight w:val="462"/>
        </w:trPr>
        <w:tc>
          <w:tcPr>
            <w:tcW w:w="4506" w:type="dxa"/>
            <w:tcBorders>
              <w:top w:val="single" w:sz="4" w:space="0" w:color="000000"/>
              <w:left w:val="single" w:sz="4" w:space="0" w:color="000000"/>
              <w:bottom w:val="single" w:sz="4" w:space="0" w:color="000000"/>
              <w:right w:val="single" w:sz="4" w:space="0" w:color="000000"/>
            </w:tcBorders>
          </w:tcPr>
          <w:p w14:paraId="1378D771" w14:textId="77777777" w:rsidR="00F319F9" w:rsidRDefault="00683896">
            <w:pPr>
              <w:spacing w:line="259" w:lineRule="auto"/>
              <w:ind w:left="0" w:firstLine="0"/>
            </w:pPr>
            <w:r>
              <w:t xml:space="preserve">At least 69.5% up to 100% </w:t>
            </w:r>
          </w:p>
        </w:tc>
        <w:tc>
          <w:tcPr>
            <w:tcW w:w="4508" w:type="dxa"/>
            <w:tcBorders>
              <w:top w:val="single" w:sz="4" w:space="0" w:color="000000"/>
              <w:left w:val="single" w:sz="4" w:space="0" w:color="000000"/>
              <w:bottom w:val="single" w:sz="4" w:space="0" w:color="000000"/>
              <w:right w:val="single" w:sz="4" w:space="0" w:color="000000"/>
            </w:tcBorders>
          </w:tcPr>
          <w:p w14:paraId="1DEDC984" w14:textId="77777777" w:rsidR="00F319F9" w:rsidRDefault="00683896">
            <w:pPr>
              <w:spacing w:line="259" w:lineRule="auto"/>
              <w:ind w:left="1" w:firstLine="0"/>
            </w:pPr>
            <w:r>
              <w:t xml:space="preserve">First Class Honours Degree </w:t>
            </w:r>
          </w:p>
        </w:tc>
      </w:tr>
      <w:tr w:rsidR="00F319F9" w14:paraId="7793F5F3" w14:textId="77777777">
        <w:trPr>
          <w:trHeight w:val="458"/>
        </w:trPr>
        <w:tc>
          <w:tcPr>
            <w:tcW w:w="4506" w:type="dxa"/>
            <w:tcBorders>
              <w:top w:val="single" w:sz="4" w:space="0" w:color="000000"/>
              <w:left w:val="single" w:sz="4" w:space="0" w:color="000000"/>
              <w:bottom w:val="single" w:sz="4" w:space="0" w:color="000000"/>
              <w:right w:val="single" w:sz="4" w:space="0" w:color="000000"/>
            </w:tcBorders>
          </w:tcPr>
          <w:p w14:paraId="51263560" w14:textId="77777777" w:rsidR="00F319F9" w:rsidRDefault="00683896">
            <w:pPr>
              <w:spacing w:line="259" w:lineRule="auto"/>
              <w:ind w:left="0" w:firstLine="0"/>
            </w:pPr>
            <w:r>
              <w:t xml:space="preserve">At least 59.5% and less than 69.5% </w:t>
            </w:r>
          </w:p>
        </w:tc>
        <w:tc>
          <w:tcPr>
            <w:tcW w:w="4508" w:type="dxa"/>
            <w:tcBorders>
              <w:top w:val="single" w:sz="4" w:space="0" w:color="000000"/>
              <w:left w:val="single" w:sz="4" w:space="0" w:color="000000"/>
              <w:bottom w:val="single" w:sz="4" w:space="0" w:color="000000"/>
              <w:right w:val="single" w:sz="4" w:space="0" w:color="000000"/>
            </w:tcBorders>
          </w:tcPr>
          <w:p w14:paraId="41DA87AE" w14:textId="77777777" w:rsidR="00F319F9" w:rsidRDefault="00683896">
            <w:pPr>
              <w:spacing w:line="259" w:lineRule="auto"/>
              <w:ind w:left="1" w:firstLine="0"/>
            </w:pPr>
            <w:r>
              <w:t xml:space="preserve">Upper </w:t>
            </w:r>
            <w:proofErr w:type="gramStart"/>
            <w:r>
              <w:t>Second Class Honours</w:t>
            </w:r>
            <w:proofErr w:type="gramEnd"/>
            <w:r>
              <w:t xml:space="preserve"> Degree </w:t>
            </w:r>
          </w:p>
        </w:tc>
      </w:tr>
      <w:tr w:rsidR="00F319F9" w14:paraId="783F35EB" w14:textId="77777777">
        <w:trPr>
          <w:trHeight w:val="461"/>
        </w:trPr>
        <w:tc>
          <w:tcPr>
            <w:tcW w:w="4506" w:type="dxa"/>
            <w:tcBorders>
              <w:top w:val="single" w:sz="4" w:space="0" w:color="000000"/>
              <w:left w:val="single" w:sz="4" w:space="0" w:color="000000"/>
              <w:bottom w:val="single" w:sz="4" w:space="0" w:color="000000"/>
              <w:right w:val="single" w:sz="4" w:space="0" w:color="000000"/>
            </w:tcBorders>
          </w:tcPr>
          <w:p w14:paraId="024F6005" w14:textId="77777777" w:rsidR="00F319F9" w:rsidRDefault="00683896">
            <w:pPr>
              <w:spacing w:line="259" w:lineRule="auto"/>
              <w:ind w:left="0" w:firstLine="0"/>
            </w:pPr>
            <w:r>
              <w:t xml:space="preserve">At least 49.5% and less than 59.5% </w:t>
            </w:r>
          </w:p>
        </w:tc>
        <w:tc>
          <w:tcPr>
            <w:tcW w:w="4508" w:type="dxa"/>
            <w:tcBorders>
              <w:top w:val="single" w:sz="4" w:space="0" w:color="000000"/>
              <w:left w:val="single" w:sz="4" w:space="0" w:color="000000"/>
              <w:bottom w:val="single" w:sz="4" w:space="0" w:color="000000"/>
              <w:right w:val="single" w:sz="4" w:space="0" w:color="000000"/>
            </w:tcBorders>
          </w:tcPr>
          <w:p w14:paraId="3A23534B" w14:textId="77777777" w:rsidR="00F319F9" w:rsidRDefault="00683896">
            <w:pPr>
              <w:spacing w:line="259" w:lineRule="auto"/>
              <w:ind w:left="1" w:firstLine="0"/>
            </w:pPr>
            <w:r>
              <w:t xml:space="preserve">Lower </w:t>
            </w:r>
            <w:proofErr w:type="gramStart"/>
            <w:r>
              <w:t>Second Class Honours</w:t>
            </w:r>
            <w:proofErr w:type="gramEnd"/>
            <w:r>
              <w:t xml:space="preserve"> Degree </w:t>
            </w:r>
          </w:p>
        </w:tc>
      </w:tr>
      <w:tr w:rsidR="00F319F9" w14:paraId="22FF785D" w14:textId="77777777">
        <w:trPr>
          <w:trHeight w:val="461"/>
        </w:trPr>
        <w:tc>
          <w:tcPr>
            <w:tcW w:w="4506" w:type="dxa"/>
            <w:tcBorders>
              <w:top w:val="single" w:sz="4" w:space="0" w:color="000000"/>
              <w:left w:val="single" w:sz="4" w:space="0" w:color="000000"/>
              <w:bottom w:val="single" w:sz="4" w:space="0" w:color="000000"/>
              <w:right w:val="single" w:sz="4" w:space="0" w:color="000000"/>
            </w:tcBorders>
          </w:tcPr>
          <w:p w14:paraId="2C0468C4" w14:textId="77777777" w:rsidR="00F319F9" w:rsidRDefault="00683896">
            <w:pPr>
              <w:spacing w:line="259" w:lineRule="auto"/>
              <w:ind w:left="0" w:firstLine="0"/>
            </w:pPr>
            <w:r>
              <w:t xml:space="preserve">At least 39.5% and less than 49.5% </w:t>
            </w:r>
          </w:p>
        </w:tc>
        <w:tc>
          <w:tcPr>
            <w:tcW w:w="4508" w:type="dxa"/>
            <w:tcBorders>
              <w:top w:val="single" w:sz="4" w:space="0" w:color="000000"/>
              <w:left w:val="single" w:sz="4" w:space="0" w:color="000000"/>
              <w:bottom w:val="single" w:sz="4" w:space="0" w:color="000000"/>
              <w:right w:val="single" w:sz="4" w:space="0" w:color="000000"/>
            </w:tcBorders>
          </w:tcPr>
          <w:p w14:paraId="4033EC5D" w14:textId="77777777" w:rsidR="00F319F9" w:rsidRDefault="00683896">
            <w:pPr>
              <w:spacing w:line="259" w:lineRule="auto"/>
              <w:ind w:left="1" w:firstLine="0"/>
            </w:pPr>
            <w:r>
              <w:t xml:space="preserve">Third Class Honours Degree </w:t>
            </w:r>
          </w:p>
        </w:tc>
      </w:tr>
    </w:tbl>
    <w:p w14:paraId="3DB953B0" w14:textId="77777777" w:rsidR="00F319F9" w:rsidRDefault="00683896">
      <w:pPr>
        <w:spacing w:line="259" w:lineRule="auto"/>
        <w:ind w:left="1" w:firstLine="0"/>
      </w:pPr>
      <w:r>
        <w:t xml:space="preserve"> </w:t>
      </w:r>
    </w:p>
    <w:p w14:paraId="09CC60DB" w14:textId="3970AB69" w:rsidR="00F319F9" w:rsidRDefault="00907CA9">
      <w:pPr>
        <w:spacing w:after="150"/>
        <w:ind w:left="-4" w:right="162"/>
      </w:pPr>
      <w:r>
        <w:t>Under standard regulations th</w:t>
      </w:r>
      <w:r w:rsidR="00683896">
        <w:t xml:space="preserve">e University does not operate automatic uplifts for borderline cases and there are no zones for consideration or discretionary considerations at Boards.  Students can </w:t>
      </w:r>
      <w:proofErr w:type="spellStart"/>
      <w:r w:rsidR="00683896">
        <w:t>resit</w:t>
      </w:r>
      <w:proofErr w:type="spellEnd"/>
      <w:r w:rsidR="00683896">
        <w:t xml:space="preserve"> modules if they have passed at least 50% of the credits taken in an academic session. The standard pass mark for modules is 40%. These regulations are in line with sector norms.   </w:t>
      </w:r>
    </w:p>
    <w:p w14:paraId="6ED1AC77" w14:textId="48014AF3" w:rsidR="177DE460" w:rsidRPr="00907CA9" w:rsidRDefault="00907CA9" w:rsidP="36A6AA21">
      <w:pPr>
        <w:spacing w:after="150"/>
        <w:ind w:left="-4" w:right="162"/>
      </w:pPr>
      <w:proofErr w:type="gramStart"/>
      <w:r>
        <w:t>However</w:t>
      </w:r>
      <w:proofErr w:type="gramEnd"/>
      <w:r>
        <w:t xml:space="preserve"> th</w:t>
      </w:r>
      <w:r w:rsidR="177DE460" w:rsidRPr="00907CA9">
        <w:t xml:space="preserve">e No Detriment Approach for 2020-21 </w:t>
      </w:r>
      <w:r>
        <w:t>was</w:t>
      </w:r>
      <w:r w:rsidR="177DE460" w:rsidRPr="00907CA9">
        <w:t xml:space="preserve"> updated to include the following:</w:t>
      </w:r>
    </w:p>
    <w:tbl>
      <w:tblPr>
        <w:tblW w:w="0" w:type="auto"/>
        <w:tblLayout w:type="fixed"/>
        <w:tblLook w:val="06A0" w:firstRow="1" w:lastRow="0" w:firstColumn="1" w:lastColumn="0" w:noHBand="1" w:noVBand="1"/>
      </w:tblPr>
      <w:tblGrid>
        <w:gridCol w:w="9195"/>
      </w:tblGrid>
      <w:tr w:rsidR="36A6AA21" w:rsidRPr="00907CA9" w14:paraId="2B23B117" w14:textId="77777777" w:rsidTr="36A6AA21">
        <w:tc>
          <w:tcPr>
            <w:tcW w:w="9195" w:type="dxa"/>
            <w:tcBorders>
              <w:top w:val="single" w:sz="8" w:space="0" w:color="auto"/>
              <w:left w:val="single" w:sz="8" w:space="0" w:color="auto"/>
              <w:bottom w:val="single" w:sz="8" w:space="0" w:color="auto"/>
              <w:right w:val="single" w:sz="8" w:space="0" w:color="auto"/>
            </w:tcBorders>
          </w:tcPr>
          <w:p w14:paraId="517E4C6F" w14:textId="72B8D811" w:rsidR="36A6AA21" w:rsidRPr="00907CA9" w:rsidRDefault="36A6AA21" w:rsidP="36A6AA21">
            <w:pPr>
              <w:pStyle w:val="ListParagraph"/>
              <w:numPr>
                <w:ilvl w:val="0"/>
                <w:numId w:val="11"/>
              </w:numPr>
              <w:spacing w:line="240" w:lineRule="exact"/>
              <w:rPr>
                <w:rFonts w:asciiTheme="minorHAnsi" w:eastAsiaTheme="minorEastAsia" w:hAnsiTheme="minorHAnsi" w:cstheme="minorBidi"/>
                <w:color w:val="000000" w:themeColor="text1"/>
                <w:sz w:val="20"/>
                <w:szCs w:val="20"/>
              </w:rPr>
            </w:pPr>
            <w:r w:rsidRPr="00907CA9">
              <w:rPr>
                <w:rFonts w:ascii="Arial" w:eastAsia="Arial" w:hAnsi="Arial" w:cs="Arial"/>
                <w:sz w:val="20"/>
                <w:szCs w:val="20"/>
              </w:rPr>
              <w:t xml:space="preserve">To re-invoke uncapped resits where a student fails a module that counts towards their </w:t>
            </w:r>
            <w:r w:rsidR="7D34CE82" w:rsidRPr="00907CA9">
              <w:rPr>
                <w:rFonts w:ascii="Arial" w:eastAsia="Arial" w:hAnsi="Arial" w:cs="Arial"/>
                <w:sz w:val="20"/>
                <w:szCs w:val="20"/>
              </w:rPr>
              <w:t xml:space="preserve">            </w:t>
            </w:r>
            <w:r w:rsidRPr="00907CA9">
              <w:rPr>
                <w:rFonts w:ascii="Arial" w:eastAsia="Arial" w:hAnsi="Arial" w:cs="Arial"/>
                <w:sz w:val="20"/>
                <w:szCs w:val="20"/>
              </w:rPr>
              <w:t>qualification (where it does not count, the resit will be capped as usual)</w:t>
            </w:r>
          </w:p>
          <w:p w14:paraId="746F292D" w14:textId="504B713F" w:rsidR="36A6AA21" w:rsidRPr="00907CA9" w:rsidRDefault="36A6AA21" w:rsidP="36A6AA21">
            <w:pPr>
              <w:spacing w:line="240" w:lineRule="exact"/>
              <w:rPr>
                <w:rFonts w:ascii="Arial" w:eastAsia="Arial" w:hAnsi="Arial" w:cs="Arial"/>
                <w:sz w:val="20"/>
                <w:szCs w:val="20"/>
              </w:rPr>
            </w:pPr>
            <w:r w:rsidRPr="00907CA9">
              <w:rPr>
                <w:rFonts w:ascii="Arial" w:eastAsia="Arial" w:hAnsi="Arial" w:cs="Arial"/>
                <w:sz w:val="20"/>
                <w:szCs w:val="20"/>
              </w:rPr>
              <w:t>*</w:t>
            </w:r>
            <w:proofErr w:type="gramStart"/>
            <w:r w:rsidRPr="00907CA9">
              <w:rPr>
                <w:rFonts w:ascii="Arial" w:eastAsia="Arial" w:hAnsi="Arial" w:cs="Arial"/>
                <w:sz w:val="20"/>
                <w:szCs w:val="20"/>
              </w:rPr>
              <w:t>as</w:t>
            </w:r>
            <w:proofErr w:type="gramEnd"/>
            <w:r w:rsidRPr="00907CA9">
              <w:rPr>
                <w:rFonts w:ascii="Arial" w:eastAsia="Arial" w:hAnsi="Arial" w:cs="Arial"/>
                <w:sz w:val="20"/>
                <w:szCs w:val="20"/>
              </w:rPr>
              <w:t xml:space="preserve"> with last year, if they perform more poorly in the resit they will retain the original mark</w:t>
            </w:r>
          </w:p>
        </w:tc>
      </w:tr>
      <w:tr w:rsidR="36A6AA21" w:rsidRPr="00907CA9" w14:paraId="0C4D1FF9" w14:textId="77777777" w:rsidTr="36A6AA21">
        <w:tc>
          <w:tcPr>
            <w:tcW w:w="9195" w:type="dxa"/>
            <w:tcBorders>
              <w:top w:val="single" w:sz="8" w:space="0" w:color="auto"/>
              <w:left w:val="single" w:sz="8" w:space="0" w:color="auto"/>
              <w:bottom w:val="single" w:sz="8" w:space="0" w:color="auto"/>
              <w:right w:val="single" w:sz="8" w:space="0" w:color="auto"/>
            </w:tcBorders>
          </w:tcPr>
          <w:p w14:paraId="54C71AA2" w14:textId="536C84EA" w:rsidR="36A6AA21" w:rsidRPr="00907CA9" w:rsidRDefault="36A6AA21" w:rsidP="36A6AA21">
            <w:pPr>
              <w:pStyle w:val="ListParagraph"/>
              <w:numPr>
                <w:ilvl w:val="0"/>
                <w:numId w:val="10"/>
              </w:numPr>
              <w:spacing w:line="240" w:lineRule="exact"/>
              <w:rPr>
                <w:rFonts w:asciiTheme="minorHAnsi" w:eastAsiaTheme="minorEastAsia" w:hAnsiTheme="minorHAnsi" w:cstheme="minorBidi"/>
                <w:color w:val="000000" w:themeColor="text1"/>
                <w:sz w:val="20"/>
                <w:szCs w:val="20"/>
              </w:rPr>
            </w:pPr>
            <w:r w:rsidRPr="00907CA9">
              <w:rPr>
                <w:rFonts w:ascii="Arial" w:eastAsia="Arial" w:hAnsi="Arial" w:cs="Arial"/>
                <w:sz w:val="20"/>
                <w:szCs w:val="20"/>
              </w:rPr>
              <w:t xml:space="preserve">To re-invoke uncapped resits where a student passes a </w:t>
            </w:r>
            <w:proofErr w:type="gramStart"/>
            <w:r w:rsidRPr="00907CA9">
              <w:rPr>
                <w:rFonts w:ascii="Arial" w:eastAsia="Arial" w:hAnsi="Arial" w:cs="Arial"/>
                <w:sz w:val="20"/>
                <w:szCs w:val="20"/>
              </w:rPr>
              <w:t>module</w:t>
            </w:r>
            <w:proofErr w:type="gramEnd"/>
            <w:r w:rsidRPr="00907CA9">
              <w:rPr>
                <w:rFonts w:ascii="Arial" w:eastAsia="Arial" w:hAnsi="Arial" w:cs="Arial"/>
                <w:sz w:val="20"/>
                <w:szCs w:val="20"/>
              </w:rPr>
              <w:t xml:space="preserve"> </w:t>
            </w:r>
            <w:r w:rsidRPr="00907CA9">
              <w:rPr>
                <w:rFonts w:ascii="Arial" w:eastAsia="Arial" w:hAnsi="Arial" w:cs="Arial"/>
                <w:i/>
                <w:iCs/>
                <w:sz w:val="20"/>
                <w:szCs w:val="20"/>
              </w:rPr>
              <w:t>and that module counts towards their qualification</w:t>
            </w:r>
            <w:r w:rsidRPr="00907CA9">
              <w:rPr>
                <w:rFonts w:ascii="Arial" w:eastAsia="Arial" w:hAnsi="Arial" w:cs="Arial"/>
                <w:sz w:val="20"/>
                <w:szCs w:val="20"/>
              </w:rPr>
              <w:t>. The student would have to make the request (as was the case last year)</w:t>
            </w:r>
          </w:p>
          <w:p w14:paraId="10A559D3" w14:textId="5F02DC70" w:rsidR="36A6AA21" w:rsidRPr="00907CA9" w:rsidRDefault="36A6AA21" w:rsidP="36A6AA21">
            <w:pPr>
              <w:spacing w:line="240" w:lineRule="exact"/>
              <w:rPr>
                <w:rFonts w:ascii="Arial" w:eastAsia="Arial" w:hAnsi="Arial" w:cs="Arial"/>
                <w:sz w:val="20"/>
                <w:szCs w:val="20"/>
              </w:rPr>
            </w:pPr>
            <w:r w:rsidRPr="00907CA9">
              <w:rPr>
                <w:rFonts w:ascii="Arial" w:eastAsia="Arial" w:hAnsi="Arial" w:cs="Arial"/>
                <w:sz w:val="20"/>
                <w:szCs w:val="20"/>
              </w:rPr>
              <w:t>*</w:t>
            </w:r>
            <w:proofErr w:type="gramStart"/>
            <w:r w:rsidRPr="00907CA9">
              <w:rPr>
                <w:rFonts w:ascii="Arial" w:eastAsia="Arial" w:hAnsi="Arial" w:cs="Arial"/>
                <w:sz w:val="20"/>
                <w:szCs w:val="20"/>
              </w:rPr>
              <w:t>as</w:t>
            </w:r>
            <w:proofErr w:type="gramEnd"/>
            <w:r w:rsidRPr="00907CA9">
              <w:rPr>
                <w:rFonts w:ascii="Arial" w:eastAsia="Arial" w:hAnsi="Arial" w:cs="Arial"/>
                <w:sz w:val="20"/>
                <w:szCs w:val="20"/>
              </w:rPr>
              <w:t xml:space="preserve"> with last year, if they perform more poorly in the resit they will retain the original mark</w:t>
            </w:r>
          </w:p>
        </w:tc>
      </w:tr>
      <w:tr w:rsidR="36A6AA21" w:rsidRPr="00907CA9" w14:paraId="102C2764" w14:textId="77777777" w:rsidTr="36A6AA21">
        <w:tc>
          <w:tcPr>
            <w:tcW w:w="9195" w:type="dxa"/>
            <w:tcBorders>
              <w:top w:val="single" w:sz="8" w:space="0" w:color="auto"/>
              <w:left w:val="single" w:sz="8" w:space="0" w:color="auto"/>
              <w:bottom w:val="single" w:sz="8" w:space="0" w:color="auto"/>
              <w:right w:val="single" w:sz="8" w:space="0" w:color="auto"/>
            </w:tcBorders>
          </w:tcPr>
          <w:p w14:paraId="5EF23E36" w14:textId="6030C264" w:rsidR="36A6AA21" w:rsidRPr="00907CA9" w:rsidRDefault="36A6AA21" w:rsidP="36A6AA21">
            <w:pPr>
              <w:pStyle w:val="ListParagraph"/>
              <w:numPr>
                <w:ilvl w:val="0"/>
                <w:numId w:val="9"/>
              </w:numPr>
              <w:spacing w:line="240" w:lineRule="exact"/>
              <w:rPr>
                <w:rFonts w:asciiTheme="minorHAnsi" w:eastAsiaTheme="minorEastAsia" w:hAnsiTheme="minorHAnsi" w:cstheme="minorBidi"/>
                <w:color w:val="000000" w:themeColor="text1"/>
                <w:sz w:val="20"/>
                <w:szCs w:val="20"/>
              </w:rPr>
            </w:pPr>
            <w:r w:rsidRPr="00907CA9">
              <w:rPr>
                <w:rFonts w:ascii="Arial" w:eastAsia="Arial" w:hAnsi="Arial" w:cs="Arial"/>
                <w:sz w:val="20"/>
                <w:szCs w:val="20"/>
              </w:rPr>
              <w:t>To relax the repeat regulations to permit more resit opportunities:</w:t>
            </w:r>
          </w:p>
          <w:p w14:paraId="2B2127AB" w14:textId="023B3694" w:rsidR="36A6AA21" w:rsidRPr="00907CA9" w:rsidRDefault="36A6AA21" w:rsidP="36A6AA21">
            <w:pPr>
              <w:pStyle w:val="ListParagraph"/>
              <w:numPr>
                <w:ilvl w:val="0"/>
                <w:numId w:val="8"/>
              </w:numPr>
              <w:spacing w:line="240" w:lineRule="exact"/>
              <w:rPr>
                <w:rFonts w:asciiTheme="minorHAnsi" w:eastAsiaTheme="minorEastAsia" w:hAnsiTheme="minorHAnsi" w:cstheme="minorBidi"/>
                <w:color w:val="000000" w:themeColor="text1"/>
                <w:sz w:val="20"/>
                <w:szCs w:val="20"/>
              </w:rPr>
            </w:pPr>
            <w:r w:rsidRPr="00907CA9">
              <w:rPr>
                <w:rFonts w:ascii="Arial" w:eastAsia="Arial" w:hAnsi="Arial" w:cs="Arial"/>
                <w:sz w:val="20"/>
                <w:szCs w:val="20"/>
              </w:rPr>
              <w:t>To re-invoke the non-submission of assessment regulation amendment so that students who have failed to submit any assessment for a module be permitted a capped resit (rather than repeat, which is the normal regulation)</w:t>
            </w:r>
          </w:p>
          <w:p w14:paraId="52F4A22C" w14:textId="16BE609A" w:rsidR="36A6AA21" w:rsidRPr="00907CA9" w:rsidRDefault="36A6AA21" w:rsidP="36A6AA21">
            <w:pPr>
              <w:pStyle w:val="ListParagraph"/>
              <w:numPr>
                <w:ilvl w:val="0"/>
                <w:numId w:val="7"/>
              </w:numPr>
              <w:spacing w:line="240" w:lineRule="exact"/>
              <w:rPr>
                <w:rFonts w:asciiTheme="minorHAnsi" w:eastAsiaTheme="minorEastAsia" w:hAnsiTheme="minorHAnsi" w:cstheme="minorBidi"/>
                <w:color w:val="000000" w:themeColor="text1"/>
                <w:sz w:val="20"/>
                <w:szCs w:val="20"/>
              </w:rPr>
            </w:pPr>
            <w:r w:rsidRPr="00907CA9">
              <w:rPr>
                <w:rFonts w:ascii="Arial" w:eastAsia="Arial" w:hAnsi="Arial" w:cs="Arial"/>
                <w:sz w:val="20"/>
                <w:szCs w:val="20"/>
              </w:rPr>
              <w:t xml:space="preserve">To re-invoke the opportunity for course leaders to make the case that a student failing more than 50% of the credits taken in the academic year be permitted to </w:t>
            </w:r>
            <w:proofErr w:type="spellStart"/>
            <w:r w:rsidRPr="00907CA9">
              <w:rPr>
                <w:rFonts w:ascii="Arial" w:eastAsia="Arial" w:hAnsi="Arial" w:cs="Arial"/>
                <w:sz w:val="20"/>
                <w:szCs w:val="20"/>
              </w:rPr>
              <w:t>resit</w:t>
            </w:r>
            <w:proofErr w:type="spellEnd"/>
            <w:r w:rsidRPr="00907CA9">
              <w:rPr>
                <w:rFonts w:ascii="Arial" w:eastAsia="Arial" w:hAnsi="Arial" w:cs="Arial"/>
                <w:sz w:val="20"/>
                <w:szCs w:val="20"/>
              </w:rPr>
              <w:t xml:space="preserve"> in the first instance, rather than repeat</w:t>
            </w:r>
          </w:p>
        </w:tc>
      </w:tr>
      <w:tr w:rsidR="36A6AA21" w:rsidRPr="00907CA9" w14:paraId="54CEB1A2" w14:textId="77777777" w:rsidTr="36A6AA21">
        <w:tc>
          <w:tcPr>
            <w:tcW w:w="9195" w:type="dxa"/>
            <w:tcBorders>
              <w:top w:val="single" w:sz="8" w:space="0" w:color="auto"/>
              <w:left w:val="single" w:sz="8" w:space="0" w:color="auto"/>
              <w:bottom w:val="single" w:sz="8" w:space="0" w:color="auto"/>
              <w:right w:val="single" w:sz="8" w:space="0" w:color="auto"/>
            </w:tcBorders>
          </w:tcPr>
          <w:p w14:paraId="60AAF16B" w14:textId="01DFB838" w:rsidR="36A6AA21" w:rsidRPr="00907CA9" w:rsidRDefault="36A6AA21" w:rsidP="36A6AA21">
            <w:pPr>
              <w:pStyle w:val="ListParagraph"/>
              <w:numPr>
                <w:ilvl w:val="0"/>
                <w:numId w:val="6"/>
              </w:numPr>
              <w:spacing w:line="240" w:lineRule="exact"/>
              <w:rPr>
                <w:rFonts w:asciiTheme="minorHAnsi" w:eastAsiaTheme="minorEastAsia" w:hAnsiTheme="minorHAnsi" w:cstheme="minorBidi"/>
                <w:color w:val="000000" w:themeColor="text1"/>
                <w:sz w:val="20"/>
                <w:szCs w:val="20"/>
              </w:rPr>
            </w:pPr>
            <w:r w:rsidRPr="00907CA9">
              <w:rPr>
                <w:rFonts w:ascii="Arial" w:eastAsia="Arial" w:hAnsi="Arial" w:cs="Arial"/>
                <w:sz w:val="20"/>
                <w:szCs w:val="20"/>
              </w:rPr>
              <w:lastRenderedPageBreak/>
              <w:t xml:space="preserve">To provide flexibility in progression regulations: </w:t>
            </w:r>
          </w:p>
          <w:p w14:paraId="15518EFA" w14:textId="02B37128" w:rsidR="36A6AA21" w:rsidRPr="00907CA9" w:rsidRDefault="36A6AA21" w:rsidP="36A6AA21">
            <w:pPr>
              <w:pStyle w:val="ListParagraph"/>
              <w:numPr>
                <w:ilvl w:val="0"/>
                <w:numId w:val="4"/>
              </w:numPr>
              <w:spacing w:line="240" w:lineRule="exact"/>
              <w:rPr>
                <w:rFonts w:asciiTheme="minorHAnsi" w:eastAsiaTheme="minorEastAsia" w:hAnsiTheme="minorHAnsi" w:cstheme="minorBidi"/>
                <w:color w:val="000000" w:themeColor="text1"/>
                <w:sz w:val="20"/>
                <w:szCs w:val="20"/>
              </w:rPr>
            </w:pPr>
            <w:r w:rsidRPr="00907CA9">
              <w:rPr>
                <w:rFonts w:ascii="Arial" w:eastAsia="Arial" w:hAnsi="Arial" w:cs="Arial"/>
                <w:sz w:val="20"/>
                <w:szCs w:val="20"/>
              </w:rPr>
              <w:t>Allowing an additional (non-core) 20 credit compensation to the standard 20 credits at each level</w:t>
            </w:r>
          </w:p>
        </w:tc>
      </w:tr>
      <w:tr w:rsidR="36A6AA21" w14:paraId="0E355B90" w14:textId="77777777" w:rsidTr="36A6AA21">
        <w:tc>
          <w:tcPr>
            <w:tcW w:w="9195" w:type="dxa"/>
            <w:tcBorders>
              <w:top w:val="single" w:sz="8" w:space="0" w:color="auto"/>
              <w:left w:val="single" w:sz="8" w:space="0" w:color="auto"/>
              <w:bottom w:val="single" w:sz="8" w:space="0" w:color="auto"/>
              <w:right w:val="single" w:sz="8" w:space="0" w:color="auto"/>
            </w:tcBorders>
          </w:tcPr>
          <w:p w14:paraId="0B4182B4" w14:textId="46DE7AD5" w:rsidR="36A6AA21" w:rsidRPr="00907CA9" w:rsidRDefault="36A6AA21" w:rsidP="36A6AA21">
            <w:pPr>
              <w:pStyle w:val="ListParagraph"/>
              <w:numPr>
                <w:ilvl w:val="0"/>
                <w:numId w:val="3"/>
              </w:numPr>
              <w:spacing w:line="240" w:lineRule="exact"/>
              <w:rPr>
                <w:rFonts w:asciiTheme="minorHAnsi" w:eastAsiaTheme="minorEastAsia" w:hAnsiTheme="minorHAnsi" w:cstheme="minorBidi"/>
                <w:color w:val="000000" w:themeColor="text1"/>
                <w:sz w:val="20"/>
                <w:szCs w:val="20"/>
              </w:rPr>
            </w:pPr>
            <w:r w:rsidRPr="00907CA9">
              <w:rPr>
                <w:rFonts w:ascii="Arial" w:eastAsia="Arial" w:hAnsi="Arial" w:cs="Arial"/>
                <w:sz w:val="20"/>
                <w:szCs w:val="20"/>
              </w:rPr>
              <w:t xml:space="preserve">To provide flexibility for students at the boundary of a classification: </w:t>
            </w:r>
          </w:p>
          <w:p w14:paraId="009C2C09" w14:textId="1CFC9782" w:rsidR="36A6AA21" w:rsidRPr="00907CA9" w:rsidRDefault="36A6AA21" w:rsidP="36A6AA21">
            <w:pPr>
              <w:pStyle w:val="ListParagraph"/>
              <w:numPr>
                <w:ilvl w:val="0"/>
                <w:numId w:val="12"/>
              </w:numPr>
              <w:spacing w:line="240" w:lineRule="exact"/>
              <w:rPr>
                <w:rFonts w:asciiTheme="minorHAnsi" w:eastAsiaTheme="minorEastAsia" w:hAnsiTheme="minorHAnsi" w:cstheme="minorBidi"/>
                <w:color w:val="000000" w:themeColor="text1"/>
                <w:sz w:val="20"/>
                <w:szCs w:val="20"/>
              </w:rPr>
            </w:pPr>
            <w:r w:rsidRPr="00907CA9">
              <w:rPr>
                <w:rFonts w:ascii="Arial" w:eastAsia="Arial" w:hAnsi="Arial" w:cs="Arial"/>
                <w:sz w:val="20"/>
                <w:szCs w:val="20"/>
              </w:rPr>
              <w:t>Automatic uplift to next classification where the profile is within 1% of the boundary in either of the classification methodologies</w:t>
            </w:r>
            <w:hyperlink r:id="rId16" w:anchor="_ftn1">
              <w:r w:rsidRPr="00907CA9">
                <w:rPr>
                  <w:rStyle w:val="Hyperlink"/>
                  <w:rFonts w:ascii="Arial" w:eastAsia="Arial" w:hAnsi="Arial" w:cs="Arial"/>
                  <w:sz w:val="20"/>
                  <w:szCs w:val="20"/>
                  <w:vertAlign w:val="superscript"/>
                </w:rPr>
                <w:t>[1]</w:t>
              </w:r>
            </w:hyperlink>
            <w:r w:rsidRPr="00907CA9">
              <w:rPr>
                <w:rFonts w:ascii="Arial" w:eastAsia="Arial" w:hAnsi="Arial" w:cs="Arial"/>
                <w:sz w:val="20"/>
                <w:szCs w:val="20"/>
              </w:rPr>
              <w:t xml:space="preserve"> provided they either have at least 50% of the credits at levels 5 and 6 at that higher classification;</w:t>
            </w:r>
          </w:p>
          <w:p w14:paraId="7B2C442C" w14:textId="731C1FFF" w:rsidR="36A6AA21" w:rsidRPr="00907CA9" w:rsidRDefault="36A6AA21" w:rsidP="36A6AA21">
            <w:pPr>
              <w:rPr>
                <w:rFonts w:ascii="Arial" w:eastAsia="Arial" w:hAnsi="Arial" w:cs="Arial"/>
                <w:sz w:val="20"/>
                <w:szCs w:val="20"/>
              </w:rPr>
            </w:pPr>
            <w:r w:rsidRPr="00907CA9">
              <w:rPr>
                <w:rFonts w:ascii="Arial" w:eastAsia="Arial" w:hAnsi="Arial" w:cs="Arial"/>
                <w:sz w:val="20"/>
                <w:szCs w:val="20"/>
              </w:rPr>
              <w:t xml:space="preserve">OR at least 80 credits out of the final 120 level 6 at the higher classification. </w:t>
            </w:r>
          </w:p>
          <w:p w14:paraId="51D81BD1" w14:textId="46753336" w:rsidR="36A6AA21" w:rsidRPr="00907CA9" w:rsidRDefault="36A6AA21" w:rsidP="36A6AA21">
            <w:pPr>
              <w:pStyle w:val="ListParagraph"/>
              <w:numPr>
                <w:ilvl w:val="0"/>
                <w:numId w:val="12"/>
              </w:numPr>
              <w:rPr>
                <w:rFonts w:asciiTheme="minorHAnsi" w:eastAsiaTheme="minorEastAsia" w:hAnsiTheme="minorHAnsi" w:cstheme="minorBidi"/>
                <w:color w:val="000000" w:themeColor="text1"/>
                <w:sz w:val="20"/>
                <w:szCs w:val="20"/>
              </w:rPr>
            </w:pPr>
            <w:r w:rsidRPr="00907CA9">
              <w:rPr>
                <w:rFonts w:ascii="Arial" w:eastAsia="Arial" w:hAnsi="Arial" w:cs="Arial"/>
                <w:sz w:val="20"/>
                <w:szCs w:val="20"/>
              </w:rPr>
              <w:t>For postgraduate students, they would need to have 50% at the higher classification.</w:t>
            </w:r>
          </w:p>
        </w:tc>
      </w:tr>
    </w:tbl>
    <w:p w14:paraId="7DFB3D6B" w14:textId="0D24B280" w:rsidR="36A6AA21" w:rsidRDefault="36A6AA21" w:rsidP="36A6AA21">
      <w:pPr>
        <w:spacing w:after="150"/>
        <w:ind w:left="-4" w:right="162"/>
      </w:pPr>
    </w:p>
    <w:p w14:paraId="53E07EB6" w14:textId="1AFF48DB" w:rsidR="0073430F" w:rsidRDefault="0073430F" w:rsidP="36A6AA21">
      <w:pPr>
        <w:spacing w:after="150"/>
        <w:ind w:left="-4" w:right="162"/>
      </w:pPr>
      <w:r>
        <w:t xml:space="preserve">A return to standard regulations has been implemented for the 2021-22 academic year. </w:t>
      </w:r>
    </w:p>
    <w:p w14:paraId="00AC63D7" w14:textId="77777777" w:rsidR="00F319F9" w:rsidRDefault="00683896">
      <w:pPr>
        <w:pStyle w:val="Heading1"/>
        <w:ind w:left="347" w:hanging="360"/>
      </w:pPr>
      <w:r>
        <w:t xml:space="preserve">Teaching Practices and learning resources </w:t>
      </w:r>
    </w:p>
    <w:p w14:paraId="707EDE02" w14:textId="77777777" w:rsidR="00F319F9" w:rsidRDefault="00683896">
      <w:pPr>
        <w:spacing w:after="208"/>
        <w:ind w:left="-4" w:right="162"/>
      </w:pPr>
      <w:r>
        <w:t xml:space="preserve">The underpinning infrastructure from the Academic Plan, to Blueprint to Student Experience Plan has enabled the institution to develop a series of planned steps towards the enhancement of teaching practice and learning resources.  These include the creation of a Personal Academic Coaching scheme based on academic research around supporting transition into and through higher education, and the strengthening and relaunching of the Reflection and Observation of Practice Scheme for all academic staff.  </w:t>
      </w:r>
    </w:p>
    <w:p w14:paraId="3389F851" w14:textId="11CF85F0" w:rsidR="00F319F9" w:rsidRPr="004F7856" w:rsidRDefault="4CB07A34" w:rsidP="5260A9C7">
      <w:pPr>
        <w:spacing w:after="208"/>
        <w:ind w:left="-4" w:right="162"/>
        <w:rPr>
          <w:color w:val="000000" w:themeColor="text1"/>
        </w:rPr>
      </w:pPr>
      <w:r w:rsidRPr="004F7856">
        <w:rPr>
          <w:color w:val="000000" w:themeColor="text1"/>
        </w:rPr>
        <w:t>The Student Experience Plan has now been completed and superseded by the 2030 Strategy, which has led to a review of curriculum principles.</w:t>
      </w:r>
      <w:r w:rsidR="004F7856">
        <w:rPr>
          <w:color w:val="000000" w:themeColor="text1"/>
        </w:rPr>
        <w:t xml:space="preserve"> A new set of curriculum 2030 principles were signed off by the Learning and Teaching Enhancement Committee in the Summer of 2021 and are now being implemented through the validation process.</w:t>
      </w:r>
    </w:p>
    <w:p w14:paraId="4E17E7B1" w14:textId="75D2A4FA" w:rsidR="00F319F9" w:rsidRDefault="00683896" w:rsidP="5260A9C7">
      <w:pPr>
        <w:spacing w:after="208"/>
        <w:ind w:left="-4" w:right="162"/>
        <w:rPr>
          <w:color w:val="000000" w:themeColor="text1"/>
          <w:szCs w:val="22"/>
        </w:rPr>
      </w:pPr>
      <w:r>
        <w:t xml:space="preserve">The Academic Blueprint includes a requirement for a </w:t>
      </w:r>
      <w:r w:rsidR="00470EA2">
        <w:t>summative</w:t>
      </w:r>
      <w:r>
        <w:t xml:space="preserve"> assessed immersive learning experience at levels 4 and 6 to provide assessment and feedback within the first six weeks. This appears to be one of the contributing factors to increased student outcomes in first time pass rates at level 4, in that it enables staff to support early academic achievement.  At level 6, it enables staff to identify students who may be struggling with the transition from level 5 to level 6.   </w:t>
      </w:r>
    </w:p>
    <w:p w14:paraId="43266F65" w14:textId="4865C316" w:rsidR="00F319F9" w:rsidRDefault="00683896">
      <w:pPr>
        <w:spacing w:after="208"/>
        <w:ind w:left="-4" w:right="162"/>
      </w:pPr>
      <w:r>
        <w:t xml:space="preserve">Support for continuing professional development of academic staff includes the TSL@USW Scheme is the </w:t>
      </w:r>
      <w:proofErr w:type="spellStart"/>
      <w:r>
        <w:t>AdvanceHE</w:t>
      </w:r>
      <w:proofErr w:type="spellEnd"/>
      <w:r>
        <w:t xml:space="preserve"> accredited provision which enables staff to achieve the appropriate category of Fellowship of the Higher Education Academy.  In addition, staff new to teaching in higher education are required to complete the Post Graduate Certificate in Learning and Teaching in Higher Education, and are also supported in their early teaching experience by the New2TeachHE structured one day provision. </w:t>
      </w:r>
    </w:p>
    <w:p w14:paraId="4A4F53AE" w14:textId="22D73AA1" w:rsidR="009B564E" w:rsidRDefault="009B564E" w:rsidP="009B564E">
      <w:pPr>
        <w:ind w:left="-4" w:right="162"/>
      </w:pPr>
      <w:r>
        <w:t xml:space="preserve">To support staff </w:t>
      </w:r>
      <w:proofErr w:type="gramStart"/>
      <w:r>
        <w:t xml:space="preserve">in </w:t>
      </w:r>
      <w:r w:rsidR="004F7856">
        <w:t>the area of</w:t>
      </w:r>
      <w:proofErr w:type="gramEnd"/>
      <w:r w:rsidR="004F7856">
        <w:t xml:space="preserve"> assessment design and its impact on the student experience (including outcomes) </w:t>
      </w:r>
      <w:r>
        <w:t xml:space="preserve">a new area has been created on the internal USW </w:t>
      </w:r>
      <w:r w:rsidR="00470EA2">
        <w:t>SharePoint</w:t>
      </w:r>
      <w:r>
        <w:t xml:space="preserve"> site – the assessment lifecycle hub – this is a one stop shop to assist staff through the lifecycle of an assessment.</w:t>
      </w:r>
    </w:p>
    <w:p w14:paraId="04901606" w14:textId="77777777" w:rsidR="009B564E" w:rsidRDefault="009B564E" w:rsidP="009B564E">
      <w:pPr>
        <w:ind w:left="-4" w:right="162"/>
      </w:pPr>
    </w:p>
    <w:p w14:paraId="4445A153" w14:textId="1A9D84E9" w:rsidR="00F319F9" w:rsidRDefault="42CB78B1" w:rsidP="53A568E9">
      <w:pPr>
        <w:spacing w:after="208"/>
        <w:ind w:left="-4" w:right="162"/>
      </w:pPr>
      <w:r>
        <w:t>In response to the Covid-19 Pandemic and working towards the USW 2030 Strategy, the University has developed and implemented the USW Digitally Enabled Active Learning (DEAL) Framework ensuring the</w:t>
      </w:r>
      <w:r w:rsidR="3F9110F2">
        <w:t xml:space="preserve"> quality of the</w:t>
      </w:r>
      <w:r>
        <w:t xml:space="preserve"> student experience</w:t>
      </w:r>
      <w:r w:rsidR="30BDCA8A">
        <w:t>.</w:t>
      </w:r>
      <w:r w:rsidR="00907CA9">
        <w:t xml:space="preserve"> A number of iterations have evolved as the response </w:t>
      </w:r>
      <w:r w:rsidR="004F7856">
        <w:t>needed to the pandemic has changed.</w:t>
      </w:r>
    </w:p>
    <w:p w14:paraId="32E06983" w14:textId="00FF4EC2" w:rsidR="00F319F9" w:rsidRDefault="00683896" w:rsidP="00470EA2">
      <w:pPr>
        <w:spacing w:after="208"/>
        <w:ind w:left="-4" w:right="162"/>
      </w:pPr>
      <w:r>
        <w:t xml:space="preserve">Academic staff work closely with colleagues in Learning Services and IT Services to enhance student experiences and to deliver high quality learning resources.  </w:t>
      </w:r>
    </w:p>
    <w:sectPr w:rsidR="00F319F9">
      <w:headerReference w:type="even" r:id="rId17"/>
      <w:headerReference w:type="default" r:id="rId18"/>
      <w:footerReference w:type="even" r:id="rId19"/>
      <w:footerReference w:type="default" r:id="rId20"/>
      <w:headerReference w:type="first" r:id="rId21"/>
      <w:footerReference w:type="first" r:id="rId22"/>
      <w:pgSz w:w="11906" w:h="16838"/>
      <w:pgMar w:top="566" w:right="1265" w:bottom="1515" w:left="1439" w:header="72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9289" w14:textId="77777777" w:rsidR="00B73A64" w:rsidRDefault="00B73A64">
      <w:pPr>
        <w:spacing w:line="240" w:lineRule="auto"/>
      </w:pPr>
      <w:r>
        <w:separator/>
      </w:r>
    </w:p>
  </w:endnote>
  <w:endnote w:type="continuationSeparator" w:id="0">
    <w:p w14:paraId="5B345091" w14:textId="77777777" w:rsidR="00B73A64" w:rsidRDefault="00B73A64">
      <w:pPr>
        <w:spacing w:line="240" w:lineRule="auto"/>
      </w:pPr>
      <w:r>
        <w:continuationSeparator/>
      </w:r>
    </w:p>
  </w:endnote>
  <w:endnote w:type="continuationNotice" w:id="1">
    <w:p w14:paraId="05C516DE" w14:textId="77777777" w:rsidR="00B73A64" w:rsidRDefault="00B73A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D9C1" w14:textId="77777777" w:rsidR="00F319F9" w:rsidRDefault="00683896">
    <w:pPr>
      <w:spacing w:line="259" w:lineRule="auto"/>
      <w:ind w:left="0" w:right="175"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657760E2" w14:textId="77777777" w:rsidR="00F319F9" w:rsidRDefault="00683896">
    <w:pPr>
      <w:spacing w:line="259" w:lineRule="auto"/>
      <w:ind w:left="1" w:firstLine="0"/>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E031" w14:textId="3121ACDB" w:rsidR="00F319F9" w:rsidRDefault="00683896">
    <w:pPr>
      <w:spacing w:line="259" w:lineRule="auto"/>
      <w:ind w:left="0" w:right="175" w:firstLine="0"/>
      <w:jc w:val="right"/>
    </w:pPr>
    <w:r>
      <w:fldChar w:fldCharType="begin"/>
    </w:r>
    <w:r>
      <w:instrText xml:space="preserve"> PAGE   \* MERGEFORMAT </w:instrText>
    </w:r>
    <w:r>
      <w:fldChar w:fldCharType="separate"/>
    </w:r>
    <w:r w:rsidR="005F4186" w:rsidRPr="005F4186">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p w14:paraId="71198D84" w14:textId="77777777" w:rsidR="00F319F9" w:rsidRDefault="00683896">
    <w:pPr>
      <w:spacing w:line="259" w:lineRule="auto"/>
      <w:ind w:left="1" w:firstLine="0"/>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3ABB" w14:textId="77777777" w:rsidR="00F319F9" w:rsidRDefault="00683896">
    <w:pPr>
      <w:spacing w:line="259" w:lineRule="auto"/>
      <w:ind w:left="0" w:right="175"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0A3ED89A" w14:textId="77777777" w:rsidR="00F319F9" w:rsidRDefault="00683896">
    <w:pPr>
      <w:spacing w:line="259" w:lineRule="auto"/>
      <w:ind w:left="1" w:firstLine="0"/>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3CEE" w14:textId="77777777" w:rsidR="00B73A64" w:rsidRDefault="00B73A64">
      <w:pPr>
        <w:spacing w:line="240" w:lineRule="auto"/>
      </w:pPr>
      <w:r>
        <w:separator/>
      </w:r>
    </w:p>
  </w:footnote>
  <w:footnote w:type="continuationSeparator" w:id="0">
    <w:p w14:paraId="466E6EC0" w14:textId="77777777" w:rsidR="00B73A64" w:rsidRDefault="00B73A64">
      <w:pPr>
        <w:spacing w:line="240" w:lineRule="auto"/>
      </w:pPr>
      <w:r>
        <w:continuationSeparator/>
      </w:r>
    </w:p>
  </w:footnote>
  <w:footnote w:type="continuationNotice" w:id="1">
    <w:p w14:paraId="0A48703E" w14:textId="77777777" w:rsidR="00B73A64" w:rsidRDefault="00B73A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BE70" w14:textId="27BCB386" w:rsidR="00994BDD" w:rsidRDefault="00994BDD">
    <w:pPr>
      <w:pStyle w:val="Header"/>
    </w:pPr>
    <w:r>
      <w:rPr>
        <w:noProof/>
        <w:lang w:bidi="ar-SA"/>
      </w:rPr>
      <mc:AlternateContent>
        <mc:Choice Requires="wps">
          <w:drawing>
            <wp:anchor distT="0" distB="0" distL="0" distR="0" simplePos="0" relativeHeight="251659264" behindDoc="0" locked="0" layoutInCell="1" allowOverlap="1" wp14:anchorId="0D3FE989" wp14:editId="723E6262">
              <wp:simplePos x="635" y="635"/>
              <wp:positionH relativeFrom="rightMargin">
                <wp:align>right</wp:align>
              </wp:positionH>
              <wp:positionV relativeFrom="paragraph">
                <wp:posOffset>635</wp:posOffset>
              </wp:positionV>
              <wp:extent cx="443865" cy="443865"/>
              <wp:effectExtent l="0" t="0" r="0" b="18415"/>
              <wp:wrapSquare wrapText="bothSides"/>
              <wp:docPr id="4" name="Text Box 4"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9ACB30" w14:textId="6871D67D" w:rsidR="00994BDD" w:rsidRPr="00994BDD" w:rsidRDefault="00994BDD">
                          <w:pPr>
                            <w:rPr>
                              <w:sz w:val="20"/>
                              <w:szCs w:val="20"/>
                            </w:rPr>
                          </w:pPr>
                          <w:r w:rsidRPr="00994BDD">
                            <w:rPr>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D3FE989" id="_x0000_t202" coordsize="21600,21600" o:spt="202" path="m,l,21600r21600,l21600,xe">
              <v:stroke joinstyle="miter"/>
              <v:path gradientshapeok="t" o:connecttype="rect"/>
            </v:shapetype>
            <v:shape id="Text Box 4" o:spid="_x0000_s1026" type="#_x0000_t202" alt="PUBLIC / CYHOEDDUS" style="position:absolute;left:0;text-align:left;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579ACB30" w14:textId="6871D67D" w:rsidR="00994BDD" w:rsidRPr="00994BDD" w:rsidRDefault="00994BDD">
                    <w:pPr>
                      <w:rPr>
                        <w:sz w:val="20"/>
                        <w:szCs w:val="20"/>
                      </w:rPr>
                    </w:pPr>
                    <w:r w:rsidRPr="00994BDD">
                      <w:rPr>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D14C" w14:textId="6C89B809" w:rsidR="00994BDD" w:rsidRDefault="00994BDD">
    <w:pPr>
      <w:pStyle w:val="Header"/>
    </w:pPr>
    <w:r>
      <w:rPr>
        <w:noProof/>
        <w:lang w:bidi="ar-SA"/>
      </w:rPr>
      <mc:AlternateContent>
        <mc:Choice Requires="wps">
          <w:drawing>
            <wp:anchor distT="0" distB="0" distL="0" distR="0" simplePos="0" relativeHeight="251660288" behindDoc="0" locked="0" layoutInCell="1" allowOverlap="1" wp14:anchorId="7A6624CE" wp14:editId="589671C6">
              <wp:simplePos x="635" y="635"/>
              <wp:positionH relativeFrom="rightMargin">
                <wp:align>right</wp:align>
              </wp:positionH>
              <wp:positionV relativeFrom="paragraph">
                <wp:posOffset>635</wp:posOffset>
              </wp:positionV>
              <wp:extent cx="443865" cy="443865"/>
              <wp:effectExtent l="0" t="0" r="0" b="18415"/>
              <wp:wrapSquare wrapText="bothSides"/>
              <wp:docPr id="5" name="Text Box 5"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BC7C59" w14:textId="03FB3E6C" w:rsidR="00994BDD" w:rsidRPr="00994BDD" w:rsidRDefault="00994BDD">
                          <w:pPr>
                            <w:rPr>
                              <w:sz w:val="20"/>
                              <w:szCs w:val="20"/>
                            </w:rPr>
                          </w:pPr>
                          <w:r w:rsidRPr="00994BDD">
                            <w:rPr>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A6624CE" id="_x0000_t202" coordsize="21600,21600" o:spt="202" path="m,l,21600r21600,l21600,xe">
              <v:stroke joinstyle="miter"/>
              <v:path gradientshapeok="t" o:connecttype="rect"/>
            </v:shapetype>
            <v:shape id="Text Box 5" o:spid="_x0000_s1027" type="#_x0000_t202" alt="PUBLIC / CYHOEDDUS" style="position:absolute;left:0;text-align:left;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2BC7C59" w14:textId="03FB3E6C" w:rsidR="00994BDD" w:rsidRPr="00994BDD" w:rsidRDefault="00994BDD">
                    <w:pPr>
                      <w:rPr>
                        <w:sz w:val="20"/>
                        <w:szCs w:val="20"/>
                      </w:rPr>
                    </w:pPr>
                    <w:r w:rsidRPr="00994BDD">
                      <w:rPr>
                        <w:sz w:val="20"/>
                        <w:szCs w:val="2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C16D" w14:textId="38CD4B4B" w:rsidR="00994BDD" w:rsidRDefault="00994BDD">
    <w:pPr>
      <w:pStyle w:val="Header"/>
    </w:pPr>
    <w:r>
      <w:rPr>
        <w:noProof/>
        <w:lang w:bidi="ar-SA"/>
      </w:rPr>
      <mc:AlternateContent>
        <mc:Choice Requires="wps">
          <w:drawing>
            <wp:anchor distT="0" distB="0" distL="0" distR="0" simplePos="0" relativeHeight="251658240" behindDoc="0" locked="0" layoutInCell="1" allowOverlap="1" wp14:anchorId="36CE617A" wp14:editId="37458927">
              <wp:simplePos x="635" y="635"/>
              <wp:positionH relativeFrom="rightMargin">
                <wp:align>right</wp:align>
              </wp:positionH>
              <wp:positionV relativeFrom="paragraph">
                <wp:posOffset>635</wp:posOffset>
              </wp:positionV>
              <wp:extent cx="443865" cy="443865"/>
              <wp:effectExtent l="0" t="0" r="0" b="18415"/>
              <wp:wrapSquare wrapText="bothSides"/>
              <wp:docPr id="3" name="Text Box 3"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E7B8DB" w14:textId="30AB50BF" w:rsidR="00994BDD" w:rsidRPr="00994BDD" w:rsidRDefault="00994BDD">
                          <w:pPr>
                            <w:rPr>
                              <w:sz w:val="20"/>
                              <w:szCs w:val="20"/>
                            </w:rPr>
                          </w:pPr>
                          <w:r w:rsidRPr="00994BDD">
                            <w:rPr>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6CE617A" id="_x0000_t202" coordsize="21600,21600" o:spt="202" path="m,l,21600r21600,l21600,xe">
              <v:stroke joinstyle="miter"/>
              <v:path gradientshapeok="t" o:connecttype="rect"/>
            </v:shapetype>
            <v:shape id="Text Box 3" o:spid="_x0000_s1028" type="#_x0000_t202" alt="PUBLIC / CYHOEDDUS" style="position:absolute;left:0;text-align:left;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0CE7B8DB" w14:textId="30AB50BF" w:rsidR="00994BDD" w:rsidRPr="00994BDD" w:rsidRDefault="00994BDD">
                    <w:pPr>
                      <w:rPr>
                        <w:sz w:val="20"/>
                        <w:szCs w:val="20"/>
                      </w:rPr>
                    </w:pPr>
                    <w:r w:rsidRPr="00994BDD">
                      <w:rPr>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355"/>
    <w:multiLevelType w:val="hybridMultilevel"/>
    <w:tmpl w:val="FFFFFFFF"/>
    <w:lvl w:ilvl="0" w:tplc="5AB41216">
      <w:start w:val="1"/>
      <w:numFmt w:val="bullet"/>
      <w:lvlText w:val=""/>
      <w:lvlJc w:val="left"/>
      <w:pPr>
        <w:ind w:left="720" w:hanging="360"/>
      </w:pPr>
      <w:rPr>
        <w:rFonts w:ascii="Symbol" w:hAnsi="Symbol" w:hint="default"/>
      </w:rPr>
    </w:lvl>
    <w:lvl w:ilvl="1" w:tplc="53AC4518">
      <w:start w:val="1"/>
      <w:numFmt w:val="bullet"/>
      <w:lvlText w:val="o"/>
      <w:lvlJc w:val="left"/>
      <w:pPr>
        <w:ind w:left="1440" w:hanging="360"/>
      </w:pPr>
      <w:rPr>
        <w:rFonts w:ascii="Courier New" w:hAnsi="Courier New" w:hint="default"/>
      </w:rPr>
    </w:lvl>
    <w:lvl w:ilvl="2" w:tplc="093E0018">
      <w:start w:val="1"/>
      <w:numFmt w:val="bullet"/>
      <w:lvlText w:val=""/>
      <w:lvlJc w:val="left"/>
      <w:pPr>
        <w:ind w:left="2160" w:hanging="360"/>
      </w:pPr>
      <w:rPr>
        <w:rFonts w:ascii="Wingdings" w:hAnsi="Wingdings" w:hint="default"/>
      </w:rPr>
    </w:lvl>
    <w:lvl w:ilvl="3" w:tplc="D436D950">
      <w:start w:val="1"/>
      <w:numFmt w:val="bullet"/>
      <w:lvlText w:val=""/>
      <w:lvlJc w:val="left"/>
      <w:pPr>
        <w:ind w:left="2880" w:hanging="360"/>
      </w:pPr>
      <w:rPr>
        <w:rFonts w:ascii="Symbol" w:hAnsi="Symbol" w:hint="default"/>
      </w:rPr>
    </w:lvl>
    <w:lvl w:ilvl="4" w:tplc="71B49FA0">
      <w:start w:val="1"/>
      <w:numFmt w:val="bullet"/>
      <w:lvlText w:val="o"/>
      <w:lvlJc w:val="left"/>
      <w:pPr>
        <w:ind w:left="3600" w:hanging="360"/>
      </w:pPr>
      <w:rPr>
        <w:rFonts w:ascii="Courier New" w:hAnsi="Courier New" w:hint="default"/>
      </w:rPr>
    </w:lvl>
    <w:lvl w:ilvl="5" w:tplc="260AAF16">
      <w:start w:val="1"/>
      <w:numFmt w:val="bullet"/>
      <w:lvlText w:val=""/>
      <w:lvlJc w:val="left"/>
      <w:pPr>
        <w:ind w:left="4320" w:hanging="360"/>
      </w:pPr>
      <w:rPr>
        <w:rFonts w:ascii="Wingdings" w:hAnsi="Wingdings" w:hint="default"/>
      </w:rPr>
    </w:lvl>
    <w:lvl w:ilvl="6" w:tplc="92D463F6">
      <w:start w:val="1"/>
      <w:numFmt w:val="bullet"/>
      <w:lvlText w:val=""/>
      <w:lvlJc w:val="left"/>
      <w:pPr>
        <w:ind w:left="5040" w:hanging="360"/>
      </w:pPr>
      <w:rPr>
        <w:rFonts w:ascii="Symbol" w:hAnsi="Symbol" w:hint="default"/>
      </w:rPr>
    </w:lvl>
    <w:lvl w:ilvl="7" w:tplc="523EA400">
      <w:start w:val="1"/>
      <w:numFmt w:val="bullet"/>
      <w:lvlText w:val="o"/>
      <w:lvlJc w:val="left"/>
      <w:pPr>
        <w:ind w:left="5760" w:hanging="360"/>
      </w:pPr>
      <w:rPr>
        <w:rFonts w:ascii="Courier New" w:hAnsi="Courier New" w:hint="default"/>
      </w:rPr>
    </w:lvl>
    <w:lvl w:ilvl="8" w:tplc="2AA2E984">
      <w:start w:val="1"/>
      <w:numFmt w:val="bullet"/>
      <w:lvlText w:val=""/>
      <w:lvlJc w:val="left"/>
      <w:pPr>
        <w:ind w:left="6480" w:hanging="360"/>
      </w:pPr>
      <w:rPr>
        <w:rFonts w:ascii="Wingdings" w:hAnsi="Wingdings" w:hint="default"/>
      </w:rPr>
    </w:lvl>
  </w:abstractNum>
  <w:abstractNum w:abstractNumId="1" w15:restartNumberingAfterBreak="0">
    <w:nsid w:val="068C4DB0"/>
    <w:multiLevelType w:val="hybridMultilevel"/>
    <w:tmpl w:val="FFFFFFFF"/>
    <w:lvl w:ilvl="0" w:tplc="3D66D06C">
      <w:start w:val="1"/>
      <w:numFmt w:val="bullet"/>
      <w:lvlText w:val=""/>
      <w:lvlJc w:val="left"/>
      <w:pPr>
        <w:ind w:left="720" w:hanging="360"/>
      </w:pPr>
      <w:rPr>
        <w:rFonts w:ascii="Symbol" w:hAnsi="Symbol" w:hint="default"/>
      </w:rPr>
    </w:lvl>
    <w:lvl w:ilvl="1" w:tplc="5900F1F8">
      <w:start w:val="1"/>
      <w:numFmt w:val="bullet"/>
      <w:lvlText w:val="o"/>
      <w:lvlJc w:val="left"/>
      <w:pPr>
        <w:ind w:left="1440" w:hanging="360"/>
      </w:pPr>
      <w:rPr>
        <w:rFonts w:ascii="Courier New" w:hAnsi="Courier New" w:hint="default"/>
      </w:rPr>
    </w:lvl>
    <w:lvl w:ilvl="2" w:tplc="4588F106">
      <w:start w:val="1"/>
      <w:numFmt w:val="bullet"/>
      <w:lvlText w:val=""/>
      <w:lvlJc w:val="left"/>
      <w:pPr>
        <w:ind w:left="2160" w:hanging="360"/>
      </w:pPr>
      <w:rPr>
        <w:rFonts w:ascii="Wingdings" w:hAnsi="Wingdings" w:hint="default"/>
      </w:rPr>
    </w:lvl>
    <w:lvl w:ilvl="3" w:tplc="0B5402C0">
      <w:start w:val="1"/>
      <w:numFmt w:val="bullet"/>
      <w:lvlText w:val=""/>
      <w:lvlJc w:val="left"/>
      <w:pPr>
        <w:ind w:left="2880" w:hanging="360"/>
      </w:pPr>
      <w:rPr>
        <w:rFonts w:ascii="Symbol" w:hAnsi="Symbol" w:hint="default"/>
      </w:rPr>
    </w:lvl>
    <w:lvl w:ilvl="4" w:tplc="EFEA89F0">
      <w:start w:val="1"/>
      <w:numFmt w:val="bullet"/>
      <w:lvlText w:val="o"/>
      <w:lvlJc w:val="left"/>
      <w:pPr>
        <w:ind w:left="3600" w:hanging="360"/>
      </w:pPr>
      <w:rPr>
        <w:rFonts w:ascii="Courier New" w:hAnsi="Courier New" w:hint="default"/>
      </w:rPr>
    </w:lvl>
    <w:lvl w:ilvl="5" w:tplc="223CD572">
      <w:start w:val="1"/>
      <w:numFmt w:val="bullet"/>
      <w:lvlText w:val=""/>
      <w:lvlJc w:val="left"/>
      <w:pPr>
        <w:ind w:left="4320" w:hanging="360"/>
      </w:pPr>
      <w:rPr>
        <w:rFonts w:ascii="Wingdings" w:hAnsi="Wingdings" w:hint="default"/>
      </w:rPr>
    </w:lvl>
    <w:lvl w:ilvl="6" w:tplc="FE9AEE1A">
      <w:start w:val="1"/>
      <w:numFmt w:val="bullet"/>
      <w:lvlText w:val=""/>
      <w:lvlJc w:val="left"/>
      <w:pPr>
        <w:ind w:left="5040" w:hanging="360"/>
      </w:pPr>
      <w:rPr>
        <w:rFonts w:ascii="Symbol" w:hAnsi="Symbol" w:hint="default"/>
      </w:rPr>
    </w:lvl>
    <w:lvl w:ilvl="7" w:tplc="150E050C">
      <w:start w:val="1"/>
      <w:numFmt w:val="bullet"/>
      <w:lvlText w:val="o"/>
      <w:lvlJc w:val="left"/>
      <w:pPr>
        <w:ind w:left="5760" w:hanging="360"/>
      </w:pPr>
      <w:rPr>
        <w:rFonts w:ascii="Courier New" w:hAnsi="Courier New" w:hint="default"/>
      </w:rPr>
    </w:lvl>
    <w:lvl w:ilvl="8" w:tplc="F71A6894">
      <w:start w:val="1"/>
      <w:numFmt w:val="bullet"/>
      <w:lvlText w:val=""/>
      <w:lvlJc w:val="left"/>
      <w:pPr>
        <w:ind w:left="6480" w:hanging="360"/>
      </w:pPr>
      <w:rPr>
        <w:rFonts w:ascii="Wingdings" w:hAnsi="Wingdings" w:hint="default"/>
      </w:rPr>
    </w:lvl>
  </w:abstractNum>
  <w:abstractNum w:abstractNumId="2" w15:restartNumberingAfterBreak="0">
    <w:nsid w:val="1614340D"/>
    <w:multiLevelType w:val="hybridMultilevel"/>
    <w:tmpl w:val="FFFFFFFF"/>
    <w:lvl w:ilvl="0" w:tplc="1BB67DAA">
      <w:start w:val="1"/>
      <w:numFmt w:val="bullet"/>
      <w:lvlText w:val=""/>
      <w:lvlJc w:val="left"/>
      <w:pPr>
        <w:ind w:left="720" w:hanging="360"/>
      </w:pPr>
      <w:rPr>
        <w:rFonts w:ascii="Symbol" w:hAnsi="Symbol" w:hint="default"/>
      </w:rPr>
    </w:lvl>
    <w:lvl w:ilvl="1" w:tplc="7C683786">
      <w:start w:val="1"/>
      <w:numFmt w:val="bullet"/>
      <w:lvlText w:val="o"/>
      <w:lvlJc w:val="left"/>
      <w:pPr>
        <w:ind w:left="1440" w:hanging="360"/>
      </w:pPr>
      <w:rPr>
        <w:rFonts w:ascii="Courier New" w:hAnsi="Courier New" w:hint="default"/>
      </w:rPr>
    </w:lvl>
    <w:lvl w:ilvl="2" w:tplc="72328622">
      <w:start w:val="1"/>
      <w:numFmt w:val="bullet"/>
      <w:lvlText w:val=""/>
      <w:lvlJc w:val="left"/>
      <w:pPr>
        <w:ind w:left="2160" w:hanging="360"/>
      </w:pPr>
      <w:rPr>
        <w:rFonts w:ascii="Wingdings" w:hAnsi="Wingdings" w:hint="default"/>
      </w:rPr>
    </w:lvl>
    <w:lvl w:ilvl="3" w:tplc="6EFAF3C2">
      <w:start w:val="1"/>
      <w:numFmt w:val="bullet"/>
      <w:lvlText w:val=""/>
      <w:lvlJc w:val="left"/>
      <w:pPr>
        <w:ind w:left="2880" w:hanging="360"/>
      </w:pPr>
      <w:rPr>
        <w:rFonts w:ascii="Symbol" w:hAnsi="Symbol" w:hint="default"/>
      </w:rPr>
    </w:lvl>
    <w:lvl w:ilvl="4" w:tplc="1062ECAE">
      <w:start w:val="1"/>
      <w:numFmt w:val="bullet"/>
      <w:lvlText w:val="o"/>
      <w:lvlJc w:val="left"/>
      <w:pPr>
        <w:ind w:left="3600" w:hanging="360"/>
      </w:pPr>
      <w:rPr>
        <w:rFonts w:ascii="Courier New" w:hAnsi="Courier New" w:hint="default"/>
      </w:rPr>
    </w:lvl>
    <w:lvl w:ilvl="5" w:tplc="966C318C">
      <w:start w:val="1"/>
      <w:numFmt w:val="bullet"/>
      <w:lvlText w:val=""/>
      <w:lvlJc w:val="left"/>
      <w:pPr>
        <w:ind w:left="4320" w:hanging="360"/>
      </w:pPr>
      <w:rPr>
        <w:rFonts w:ascii="Wingdings" w:hAnsi="Wingdings" w:hint="default"/>
      </w:rPr>
    </w:lvl>
    <w:lvl w:ilvl="6" w:tplc="1832BF62">
      <w:start w:val="1"/>
      <w:numFmt w:val="bullet"/>
      <w:lvlText w:val=""/>
      <w:lvlJc w:val="left"/>
      <w:pPr>
        <w:ind w:left="5040" w:hanging="360"/>
      </w:pPr>
      <w:rPr>
        <w:rFonts w:ascii="Symbol" w:hAnsi="Symbol" w:hint="default"/>
      </w:rPr>
    </w:lvl>
    <w:lvl w:ilvl="7" w:tplc="B9EAC522">
      <w:start w:val="1"/>
      <w:numFmt w:val="bullet"/>
      <w:lvlText w:val="o"/>
      <w:lvlJc w:val="left"/>
      <w:pPr>
        <w:ind w:left="5760" w:hanging="360"/>
      </w:pPr>
      <w:rPr>
        <w:rFonts w:ascii="Courier New" w:hAnsi="Courier New" w:hint="default"/>
      </w:rPr>
    </w:lvl>
    <w:lvl w:ilvl="8" w:tplc="281AD198">
      <w:start w:val="1"/>
      <w:numFmt w:val="bullet"/>
      <w:lvlText w:val=""/>
      <w:lvlJc w:val="left"/>
      <w:pPr>
        <w:ind w:left="6480" w:hanging="360"/>
      </w:pPr>
      <w:rPr>
        <w:rFonts w:ascii="Wingdings" w:hAnsi="Wingdings" w:hint="default"/>
      </w:rPr>
    </w:lvl>
  </w:abstractNum>
  <w:abstractNum w:abstractNumId="3" w15:restartNumberingAfterBreak="0">
    <w:nsid w:val="1F665116"/>
    <w:multiLevelType w:val="hybridMultilevel"/>
    <w:tmpl w:val="E13EBE88"/>
    <w:lvl w:ilvl="0" w:tplc="F07424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3479C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9430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D20A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C8CCD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26E06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C46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C2FE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CAD9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6149CE"/>
    <w:multiLevelType w:val="hybridMultilevel"/>
    <w:tmpl w:val="FFFFFFFF"/>
    <w:lvl w:ilvl="0" w:tplc="30906FE0">
      <w:start w:val="1"/>
      <w:numFmt w:val="bullet"/>
      <w:lvlText w:val="-"/>
      <w:lvlJc w:val="left"/>
      <w:pPr>
        <w:ind w:left="720" w:hanging="360"/>
      </w:pPr>
      <w:rPr>
        <w:rFonts w:ascii="Calibri" w:hAnsi="Calibri" w:hint="default"/>
      </w:rPr>
    </w:lvl>
    <w:lvl w:ilvl="1" w:tplc="47B675F6">
      <w:start w:val="1"/>
      <w:numFmt w:val="bullet"/>
      <w:lvlText w:val="o"/>
      <w:lvlJc w:val="left"/>
      <w:pPr>
        <w:ind w:left="1440" w:hanging="360"/>
      </w:pPr>
      <w:rPr>
        <w:rFonts w:ascii="Courier New" w:hAnsi="Courier New" w:hint="default"/>
      </w:rPr>
    </w:lvl>
    <w:lvl w:ilvl="2" w:tplc="C820223A">
      <w:start w:val="1"/>
      <w:numFmt w:val="bullet"/>
      <w:lvlText w:val=""/>
      <w:lvlJc w:val="left"/>
      <w:pPr>
        <w:ind w:left="2160" w:hanging="360"/>
      </w:pPr>
      <w:rPr>
        <w:rFonts w:ascii="Wingdings" w:hAnsi="Wingdings" w:hint="default"/>
      </w:rPr>
    </w:lvl>
    <w:lvl w:ilvl="3" w:tplc="8D961ADA">
      <w:start w:val="1"/>
      <w:numFmt w:val="bullet"/>
      <w:lvlText w:val=""/>
      <w:lvlJc w:val="left"/>
      <w:pPr>
        <w:ind w:left="2880" w:hanging="360"/>
      </w:pPr>
      <w:rPr>
        <w:rFonts w:ascii="Symbol" w:hAnsi="Symbol" w:hint="default"/>
      </w:rPr>
    </w:lvl>
    <w:lvl w:ilvl="4" w:tplc="86A87566">
      <w:start w:val="1"/>
      <w:numFmt w:val="bullet"/>
      <w:lvlText w:val="o"/>
      <w:lvlJc w:val="left"/>
      <w:pPr>
        <w:ind w:left="3600" w:hanging="360"/>
      </w:pPr>
      <w:rPr>
        <w:rFonts w:ascii="Courier New" w:hAnsi="Courier New" w:hint="default"/>
      </w:rPr>
    </w:lvl>
    <w:lvl w:ilvl="5" w:tplc="2984F6E2">
      <w:start w:val="1"/>
      <w:numFmt w:val="bullet"/>
      <w:lvlText w:val=""/>
      <w:lvlJc w:val="left"/>
      <w:pPr>
        <w:ind w:left="4320" w:hanging="360"/>
      </w:pPr>
      <w:rPr>
        <w:rFonts w:ascii="Wingdings" w:hAnsi="Wingdings" w:hint="default"/>
      </w:rPr>
    </w:lvl>
    <w:lvl w:ilvl="6" w:tplc="DB7E13AC">
      <w:start w:val="1"/>
      <w:numFmt w:val="bullet"/>
      <w:lvlText w:val=""/>
      <w:lvlJc w:val="left"/>
      <w:pPr>
        <w:ind w:left="5040" w:hanging="360"/>
      </w:pPr>
      <w:rPr>
        <w:rFonts w:ascii="Symbol" w:hAnsi="Symbol" w:hint="default"/>
      </w:rPr>
    </w:lvl>
    <w:lvl w:ilvl="7" w:tplc="FAB6B83E">
      <w:start w:val="1"/>
      <w:numFmt w:val="bullet"/>
      <w:lvlText w:val="o"/>
      <w:lvlJc w:val="left"/>
      <w:pPr>
        <w:ind w:left="5760" w:hanging="360"/>
      </w:pPr>
      <w:rPr>
        <w:rFonts w:ascii="Courier New" w:hAnsi="Courier New" w:hint="default"/>
      </w:rPr>
    </w:lvl>
    <w:lvl w:ilvl="8" w:tplc="BAF035C4">
      <w:start w:val="1"/>
      <w:numFmt w:val="bullet"/>
      <w:lvlText w:val=""/>
      <w:lvlJc w:val="left"/>
      <w:pPr>
        <w:ind w:left="6480" w:hanging="360"/>
      </w:pPr>
      <w:rPr>
        <w:rFonts w:ascii="Wingdings" w:hAnsi="Wingdings" w:hint="default"/>
      </w:rPr>
    </w:lvl>
  </w:abstractNum>
  <w:abstractNum w:abstractNumId="5" w15:restartNumberingAfterBreak="0">
    <w:nsid w:val="2242797A"/>
    <w:multiLevelType w:val="hybridMultilevel"/>
    <w:tmpl w:val="FFFFFFFF"/>
    <w:lvl w:ilvl="0" w:tplc="3AD69FE6">
      <w:start w:val="1"/>
      <w:numFmt w:val="bullet"/>
      <w:lvlText w:val="-"/>
      <w:lvlJc w:val="left"/>
      <w:pPr>
        <w:ind w:left="720" w:hanging="360"/>
      </w:pPr>
      <w:rPr>
        <w:rFonts w:ascii="Calibri" w:hAnsi="Calibri" w:hint="default"/>
      </w:rPr>
    </w:lvl>
    <w:lvl w:ilvl="1" w:tplc="CE24E500">
      <w:start w:val="1"/>
      <w:numFmt w:val="bullet"/>
      <w:lvlText w:val="o"/>
      <w:lvlJc w:val="left"/>
      <w:pPr>
        <w:ind w:left="1440" w:hanging="360"/>
      </w:pPr>
      <w:rPr>
        <w:rFonts w:ascii="Courier New" w:hAnsi="Courier New" w:hint="default"/>
      </w:rPr>
    </w:lvl>
    <w:lvl w:ilvl="2" w:tplc="D062CB26">
      <w:start w:val="1"/>
      <w:numFmt w:val="bullet"/>
      <w:lvlText w:val=""/>
      <w:lvlJc w:val="left"/>
      <w:pPr>
        <w:ind w:left="2160" w:hanging="360"/>
      </w:pPr>
      <w:rPr>
        <w:rFonts w:ascii="Wingdings" w:hAnsi="Wingdings" w:hint="default"/>
      </w:rPr>
    </w:lvl>
    <w:lvl w:ilvl="3" w:tplc="1E086010">
      <w:start w:val="1"/>
      <w:numFmt w:val="bullet"/>
      <w:lvlText w:val=""/>
      <w:lvlJc w:val="left"/>
      <w:pPr>
        <w:ind w:left="2880" w:hanging="360"/>
      </w:pPr>
      <w:rPr>
        <w:rFonts w:ascii="Symbol" w:hAnsi="Symbol" w:hint="default"/>
      </w:rPr>
    </w:lvl>
    <w:lvl w:ilvl="4" w:tplc="98E06814">
      <w:start w:val="1"/>
      <w:numFmt w:val="bullet"/>
      <w:lvlText w:val="o"/>
      <w:lvlJc w:val="left"/>
      <w:pPr>
        <w:ind w:left="3600" w:hanging="360"/>
      </w:pPr>
      <w:rPr>
        <w:rFonts w:ascii="Courier New" w:hAnsi="Courier New" w:hint="default"/>
      </w:rPr>
    </w:lvl>
    <w:lvl w:ilvl="5" w:tplc="401E2F4C">
      <w:start w:val="1"/>
      <w:numFmt w:val="bullet"/>
      <w:lvlText w:val=""/>
      <w:lvlJc w:val="left"/>
      <w:pPr>
        <w:ind w:left="4320" w:hanging="360"/>
      </w:pPr>
      <w:rPr>
        <w:rFonts w:ascii="Wingdings" w:hAnsi="Wingdings" w:hint="default"/>
      </w:rPr>
    </w:lvl>
    <w:lvl w:ilvl="6" w:tplc="FB2427E2">
      <w:start w:val="1"/>
      <w:numFmt w:val="bullet"/>
      <w:lvlText w:val=""/>
      <w:lvlJc w:val="left"/>
      <w:pPr>
        <w:ind w:left="5040" w:hanging="360"/>
      </w:pPr>
      <w:rPr>
        <w:rFonts w:ascii="Symbol" w:hAnsi="Symbol" w:hint="default"/>
      </w:rPr>
    </w:lvl>
    <w:lvl w:ilvl="7" w:tplc="6E3A010A">
      <w:start w:val="1"/>
      <w:numFmt w:val="bullet"/>
      <w:lvlText w:val="o"/>
      <w:lvlJc w:val="left"/>
      <w:pPr>
        <w:ind w:left="5760" w:hanging="360"/>
      </w:pPr>
      <w:rPr>
        <w:rFonts w:ascii="Courier New" w:hAnsi="Courier New" w:hint="default"/>
      </w:rPr>
    </w:lvl>
    <w:lvl w:ilvl="8" w:tplc="15D258E6">
      <w:start w:val="1"/>
      <w:numFmt w:val="bullet"/>
      <w:lvlText w:val=""/>
      <w:lvlJc w:val="left"/>
      <w:pPr>
        <w:ind w:left="6480" w:hanging="360"/>
      </w:pPr>
      <w:rPr>
        <w:rFonts w:ascii="Wingdings" w:hAnsi="Wingdings" w:hint="default"/>
      </w:rPr>
    </w:lvl>
  </w:abstractNum>
  <w:abstractNum w:abstractNumId="6" w15:restartNumberingAfterBreak="0">
    <w:nsid w:val="24382E03"/>
    <w:multiLevelType w:val="hybridMultilevel"/>
    <w:tmpl w:val="D700D070"/>
    <w:lvl w:ilvl="0" w:tplc="DB142FB6">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0B68626">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D8EF090">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5B46164">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26CC846">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8EF10A">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4A81F3C">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B6054C">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DA8B0C6">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A93A13"/>
    <w:multiLevelType w:val="hybridMultilevel"/>
    <w:tmpl w:val="FFFFFFFF"/>
    <w:lvl w:ilvl="0" w:tplc="5E9CEDC0">
      <w:start w:val="1"/>
      <w:numFmt w:val="bullet"/>
      <w:lvlText w:val="-"/>
      <w:lvlJc w:val="left"/>
      <w:pPr>
        <w:ind w:left="720" w:hanging="360"/>
      </w:pPr>
      <w:rPr>
        <w:rFonts w:ascii="Calibri" w:hAnsi="Calibri" w:hint="default"/>
      </w:rPr>
    </w:lvl>
    <w:lvl w:ilvl="1" w:tplc="7E4EEDB6">
      <w:start w:val="1"/>
      <w:numFmt w:val="bullet"/>
      <w:lvlText w:val="o"/>
      <w:lvlJc w:val="left"/>
      <w:pPr>
        <w:ind w:left="1440" w:hanging="360"/>
      </w:pPr>
      <w:rPr>
        <w:rFonts w:ascii="Courier New" w:hAnsi="Courier New" w:hint="default"/>
      </w:rPr>
    </w:lvl>
    <w:lvl w:ilvl="2" w:tplc="1490392A">
      <w:start w:val="1"/>
      <w:numFmt w:val="bullet"/>
      <w:lvlText w:val=""/>
      <w:lvlJc w:val="left"/>
      <w:pPr>
        <w:ind w:left="2160" w:hanging="360"/>
      </w:pPr>
      <w:rPr>
        <w:rFonts w:ascii="Wingdings" w:hAnsi="Wingdings" w:hint="default"/>
      </w:rPr>
    </w:lvl>
    <w:lvl w:ilvl="3" w:tplc="8724FE56">
      <w:start w:val="1"/>
      <w:numFmt w:val="bullet"/>
      <w:lvlText w:val=""/>
      <w:lvlJc w:val="left"/>
      <w:pPr>
        <w:ind w:left="2880" w:hanging="360"/>
      </w:pPr>
      <w:rPr>
        <w:rFonts w:ascii="Symbol" w:hAnsi="Symbol" w:hint="default"/>
      </w:rPr>
    </w:lvl>
    <w:lvl w:ilvl="4" w:tplc="CF9419D0">
      <w:start w:val="1"/>
      <w:numFmt w:val="bullet"/>
      <w:lvlText w:val="o"/>
      <w:lvlJc w:val="left"/>
      <w:pPr>
        <w:ind w:left="3600" w:hanging="360"/>
      </w:pPr>
      <w:rPr>
        <w:rFonts w:ascii="Courier New" w:hAnsi="Courier New" w:hint="default"/>
      </w:rPr>
    </w:lvl>
    <w:lvl w:ilvl="5" w:tplc="94D8A74E">
      <w:start w:val="1"/>
      <w:numFmt w:val="bullet"/>
      <w:lvlText w:val=""/>
      <w:lvlJc w:val="left"/>
      <w:pPr>
        <w:ind w:left="4320" w:hanging="360"/>
      </w:pPr>
      <w:rPr>
        <w:rFonts w:ascii="Wingdings" w:hAnsi="Wingdings" w:hint="default"/>
      </w:rPr>
    </w:lvl>
    <w:lvl w:ilvl="6" w:tplc="006CA196">
      <w:start w:val="1"/>
      <w:numFmt w:val="bullet"/>
      <w:lvlText w:val=""/>
      <w:lvlJc w:val="left"/>
      <w:pPr>
        <w:ind w:left="5040" w:hanging="360"/>
      </w:pPr>
      <w:rPr>
        <w:rFonts w:ascii="Symbol" w:hAnsi="Symbol" w:hint="default"/>
      </w:rPr>
    </w:lvl>
    <w:lvl w:ilvl="7" w:tplc="5EECE9F4">
      <w:start w:val="1"/>
      <w:numFmt w:val="bullet"/>
      <w:lvlText w:val="o"/>
      <w:lvlJc w:val="left"/>
      <w:pPr>
        <w:ind w:left="5760" w:hanging="360"/>
      </w:pPr>
      <w:rPr>
        <w:rFonts w:ascii="Courier New" w:hAnsi="Courier New" w:hint="default"/>
      </w:rPr>
    </w:lvl>
    <w:lvl w:ilvl="8" w:tplc="CDB67BC2">
      <w:start w:val="1"/>
      <w:numFmt w:val="bullet"/>
      <w:lvlText w:val=""/>
      <w:lvlJc w:val="left"/>
      <w:pPr>
        <w:ind w:left="6480" w:hanging="360"/>
      </w:pPr>
      <w:rPr>
        <w:rFonts w:ascii="Wingdings" w:hAnsi="Wingdings" w:hint="default"/>
      </w:rPr>
    </w:lvl>
  </w:abstractNum>
  <w:abstractNum w:abstractNumId="8" w15:restartNumberingAfterBreak="0">
    <w:nsid w:val="291F49FB"/>
    <w:multiLevelType w:val="hybridMultilevel"/>
    <w:tmpl w:val="FFFFFFFF"/>
    <w:lvl w:ilvl="0" w:tplc="B73CF7FC">
      <w:start w:val="1"/>
      <w:numFmt w:val="bullet"/>
      <w:lvlText w:val="-"/>
      <w:lvlJc w:val="left"/>
      <w:pPr>
        <w:ind w:left="720" w:hanging="360"/>
      </w:pPr>
      <w:rPr>
        <w:rFonts w:ascii="Calibri" w:hAnsi="Calibri" w:hint="default"/>
      </w:rPr>
    </w:lvl>
    <w:lvl w:ilvl="1" w:tplc="487C3E06">
      <w:start w:val="1"/>
      <w:numFmt w:val="bullet"/>
      <w:lvlText w:val="o"/>
      <w:lvlJc w:val="left"/>
      <w:pPr>
        <w:ind w:left="1440" w:hanging="360"/>
      </w:pPr>
      <w:rPr>
        <w:rFonts w:ascii="Courier New" w:hAnsi="Courier New" w:hint="default"/>
      </w:rPr>
    </w:lvl>
    <w:lvl w:ilvl="2" w:tplc="C2745B1E">
      <w:start w:val="1"/>
      <w:numFmt w:val="bullet"/>
      <w:lvlText w:val=""/>
      <w:lvlJc w:val="left"/>
      <w:pPr>
        <w:ind w:left="2160" w:hanging="360"/>
      </w:pPr>
      <w:rPr>
        <w:rFonts w:ascii="Wingdings" w:hAnsi="Wingdings" w:hint="default"/>
      </w:rPr>
    </w:lvl>
    <w:lvl w:ilvl="3" w:tplc="0CDCBB14">
      <w:start w:val="1"/>
      <w:numFmt w:val="bullet"/>
      <w:lvlText w:val=""/>
      <w:lvlJc w:val="left"/>
      <w:pPr>
        <w:ind w:left="2880" w:hanging="360"/>
      </w:pPr>
      <w:rPr>
        <w:rFonts w:ascii="Symbol" w:hAnsi="Symbol" w:hint="default"/>
      </w:rPr>
    </w:lvl>
    <w:lvl w:ilvl="4" w:tplc="84682D6A">
      <w:start w:val="1"/>
      <w:numFmt w:val="bullet"/>
      <w:lvlText w:val="o"/>
      <w:lvlJc w:val="left"/>
      <w:pPr>
        <w:ind w:left="3600" w:hanging="360"/>
      </w:pPr>
      <w:rPr>
        <w:rFonts w:ascii="Courier New" w:hAnsi="Courier New" w:hint="default"/>
      </w:rPr>
    </w:lvl>
    <w:lvl w:ilvl="5" w:tplc="A0AA376C">
      <w:start w:val="1"/>
      <w:numFmt w:val="bullet"/>
      <w:lvlText w:val=""/>
      <w:lvlJc w:val="left"/>
      <w:pPr>
        <w:ind w:left="4320" w:hanging="360"/>
      </w:pPr>
      <w:rPr>
        <w:rFonts w:ascii="Wingdings" w:hAnsi="Wingdings" w:hint="default"/>
      </w:rPr>
    </w:lvl>
    <w:lvl w:ilvl="6" w:tplc="85CC641A">
      <w:start w:val="1"/>
      <w:numFmt w:val="bullet"/>
      <w:lvlText w:val=""/>
      <w:lvlJc w:val="left"/>
      <w:pPr>
        <w:ind w:left="5040" w:hanging="360"/>
      </w:pPr>
      <w:rPr>
        <w:rFonts w:ascii="Symbol" w:hAnsi="Symbol" w:hint="default"/>
      </w:rPr>
    </w:lvl>
    <w:lvl w:ilvl="7" w:tplc="8EA85AB4">
      <w:start w:val="1"/>
      <w:numFmt w:val="bullet"/>
      <w:lvlText w:val="o"/>
      <w:lvlJc w:val="left"/>
      <w:pPr>
        <w:ind w:left="5760" w:hanging="360"/>
      </w:pPr>
      <w:rPr>
        <w:rFonts w:ascii="Courier New" w:hAnsi="Courier New" w:hint="default"/>
      </w:rPr>
    </w:lvl>
    <w:lvl w:ilvl="8" w:tplc="24F8A53E">
      <w:start w:val="1"/>
      <w:numFmt w:val="bullet"/>
      <w:lvlText w:val=""/>
      <w:lvlJc w:val="left"/>
      <w:pPr>
        <w:ind w:left="6480" w:hanging="360"/>
      </w:pPr>
      <w:rPr>
        <w:rFonts w:ascii="Wingdings" w:hAnsi="Wingdings" w:hint="default"/>
      </w:rPr>
    </w:lvl>
  </w:abstractNum>
  <w:abstractNum w:abstractNumId="9" w15:restartNumberingAfterBreak="0">
    <w:nsid w:val="5D4D203D"/>
    <w:multiLevelType w:val="hybridMultilevel"/>
    <w:tmpl w:val="590C776A"/>
    <w:lvl w:ilvl="0" w:tplc="A678F6D4">
      <w:start w:val="1"/>
      <w:numFmt w:val="decimal"/>
      <w:lvlText w:val="%1."/>
      <w:lvlJc w:val="left"/>
      <w:pPr>
        <w:tabs>
          <w:tab w:val="num" w:pos="360"/>
        </w:tabs>
        <w:ind w:left="360" w:hanging="360"/>
      </w:pPr>
      <w:rPr>
        <w:rFonts w:hint="default"/>
        <w:b/>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10" w15:restartNumberingAfterBreak="0">
    <w:nsid w:val="616F1A92"/>
    <w:multiLevelType w:val="hybridMultilevel"/>
    <w:tmpl w:val="FFFFFFFF"/>
    <w:lvl w:ilvl="0" w:tplc="0108DE62">
      <w:start w:val="1"/>
      <w:numFmt w:val="bullet"/>
      <w:lvlText w:val="-"/>
      <w:lvlJc w:val="left"/>
      <w:pPr>
        <w:ind w:left="720" w:hanging="360"/>
      </w:pPr>
      <w:rPr>
        <w:rFonts w:ascii="Calibri" w:hAnsi="Calibri" w:hint="default"/>
      </w:rPr>
    </w:lvl>
    <w:lvl w:ilvl="1" w:tplc="E56CF564">
      <w:start w:val="1"/>
      <w:numFmt w:val="bullet"/>
      <w:lvlText w:val="o"/>
      <w:lvlJc w:val="left"/>
      <w:pPr>
        <w:ind w:left="1440" w:hanging="360"/>
      </w:pPr>
      <w:rPr>
        <w:rFonts w:ascii="Courier New" w:hAnsi="Courier New" w:hint="default"/>
      </w:rPr>
    </w:lvl>
    <w:lvl w:ilvl="2" w:tplc="AB7068DA">
      <w:start w:val="1"/>
      <w:numFmt w:val="bullet"/>
      <w:lvlText w:val=""/>
      <w:lvlJc w:val="left"/>
      <w:pPr>
        <w:ind w:left="2160" w:hanging="360"/>
      </w:pPr>
      <w:rPr>
        <w:rFonts w:ascii="Wingdings" w:hAnsi="Wingdings" w:hint="default"/>
      </w:rPr>
    </w:lvl>
    <w:lvl w:ilvl="3" w:tplc="DBF60AD0">
      <w:start w:val="1"/>
      <w:numFmt w:val="bullet"/>
      <w:lvlText w:val=""/>
      <w:lvlJc w:val="left"/>
      <w:pPr>
        <w:ind w:left="2880" w:hanging="360"/>
      </w:pPr>
      <w:rPr>
        <w:rFonts w:ascii="Symbol" w:hAnsi="Symbol" w:hint="default"/>
      </w:rPr>
    </w:lvl>
    <w:lvl w:ilvl="4" w:tplc="085856D8">
      <w:start w:val="1"/>
      <w:numFmt w:val="bullet"/>
      <w:lvlText w:val="o"/>
      <w:lvlJc w:val="left"/>
      <w:pPr>
        <w:ind w:left="3600" w:hanging="360"/>
      </w:pPr>
      <w:rPr>
        <w:rFonts w:ascii="Courier New" w:hAnsi="Courier New" w:hint="default"/>
      </w:rPr>
    </w:lvl>
    <w:lvl w:ilvl="5" w:tplc="22AED4A2">
      <w:start w:val="1"/>
      <w:numFmt w:val="bullet"/>
      <w:lvlText w:val=""/>
      <w:lvlJc w:val="left"/>
      <w:pPr>
        <w:ind w:left="4320" w:hanging="360"/>
      </w:pPr>
      <w:rPr>
        <w:rFonts w:ascii="Wingdings" w:hAnsi="Wingdings" w:hint="default"/>
      </w:rPr>
    </w:lvl>
    <w:lvl w:ilvl="6" w:tplc="EC24E67C">
      <w:start w:val="1"/>
      <w:numFmt w:val="bullet"/>
      <w:lvlText w:val=""/>
      <w:lvlJc w:val="left"/>
      <w:pPr>
        <w:ind w:left="5040" w:hanging="360"/>
      </w:pPr>
      <w:rPr>
        <w:rFonts w:ascii="Symbol" w:hAnsi="Symbol" w:hint="default"/>
      </w:rPr>
    </w:lvl>
    <w:lvl w:ilvl="7" w:tplc="DE1EBFE2">
      <w:start w:val="1"/>
      <w:numFmt w:val="bullet"/>
      <w:lvlText w:val="o"/>
      <w:lvlJc w:val="left"/>
      <w:pPr>
        <w:ind w:left="5760" w:hanging="360"/>
      </w:pPr>
      <w:rPr>
        <w:rFonts w:ascii="Courier New" w:hAnsi="Courier New" w:hint="default"/>
      </w:rPr>
    </w:lvl>
    <w:lvl w:ilvl="8" w:tplc="E2DCB47A">
      <w:start w:val="1"/>
      <w:numFmt w:val="bullet"/>
      <w:lvlText w:val=""/>
      <w:lvlJc w:val="left"/>
      <w:pPr>
        <w:ind w:left="6480" w:hanging="360"/>
      </w:pPr>
      <w:rPr>
        <w:rFonts w:ascii="Wingdings" w:hAnsi="Wingdings" w:hint="default"/>
      </w:rPr>
    </w:lvl>
  </w:abstractNum>
  <w:abstractNum w:abstractNumId="11"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60E8B"/>
    <w:multiLevelType w:val="hybridMultilevel"/>
    <w:tmpl w:val="FFFFFFFF"/>
    <w:lvl w:ilvl="0" w:tplc="1B084482">
      <w:start w:val="1"/>
      <w:numFmt w:val="bullet"/>
      <w:lvlText w:val="-"/>
      <w:lvlJc w:val="left"/>
      <w:pPr>
        <w:ind w:left="720" w:hanging="360"/>
      </w:pPr>
      <w:rPr>
        <w:rFonts w:ascii="Calibri" w:hAnsi="Calibri" w:hint="default"/>
      </w:rPr>
    </w:lvl>
    <w:lvl w:ilvl="1" w:tplc="AC606EE4">
      <w:start w:val="1"/>
      <w:numFmt w:val="bullet"/>
      <w:lvlText w:val="o"/>
      <w:lvlJc w:val="left"/>
      <w:pPr>
        <w:ind w:left="1440" w:hanging="360"/>
      </w:pPr>
      <w:rPr>
        <w:rFonts w:ascii="Courier New" w:hAnsi="Courier New" w:hint="default"/>
      </w:rPr>
    </w:lvl>
    <w:lvl w:ilvl="2" w:tplc="91840FEC">
      <w:start w:val="1"/>
      <w:numFmt w:val="bullet"/>
      <w:lvlText w:val=""/>
      <w:lvlJc w:val="left"/>
      <w:pPr>
        <w:ind w:left="2160" w:hanging="360"/>
      </w:pPr>
      <w:rPr>
        <w:rFonts w:ascii="Wingdings" w:hAnsi="Wingdings" w:hint="default"/>
      </w:rPr>
    </w:lvl>
    <w:lvl w:ilvl="3" w:tplc="187A4132">
      <w:start w:val="1"/>
      <w:numFmt w:val="bullet"/>
      <w:lvlText w:val=""/>
      <w:lvlJc w:val="left"/>
      <w:pPr>
        <w:ind w:left="2880" w:hanging="360"/>
      </w:pPr>
      <w:rPr>
        <w:rFonts w:ascii="Symbol" w:hAnsi="Symbol" w:hint="default"/>
      </w:rPr>
    </w:lvl>
    <w:lvl w:ilvl="4" w:tplc="99FE1AFE">
      <w:start w:val="1"/>
      <w:numFmt w:val="bullet"/>
      <w:lvlText w:val="o"/>
      <w:lvlJc w:val="left"/>
      <w:pPr>
        <w:ind w:left="3600" w:hanging="360"/>
      </w:pPr>
      <w:rPr>
        <w:rFonts w:ascii="Courier New" w:hAnsi="Courier New" w:hint="default"/>
      </w:rPr>
    </w:lvl>
    <w:lvl w:ilvl="5" w:tplc="DFFA31BA">
      <w:start w:val="1"/>
      <w:numFmt w:val="bullet"/>
      <w:lvlText w:val=""/>
      <w:lvlJc w:val="left"/>
      <w:pPr>
        <w:ind w:left="4320" w:hanging="360"/>
      </w:pPr>
      <w:rPr>
        <w:rFonts w:ascii="Wingdings" w:hAnsi="Wingdings" w:hint="default"/>
      </w:rPr>
    </w:lvl>
    <w:lvl w:ilvl="6" w:tplc="2F321268">
      <w:start w:val="1"/>
      <w:numFmt w:val="bullet"/>
      <w:lvlText w:val=""/>
      <w:lvlJc w:val="left"/>
      <w:pPr>
        <w:ind w:left="5040" w:hanging="360"/>
      </w:pPr>
      <w:rPr>
        <w:rFonts w:ascii="Symbol" w:hAnsi="Symbol" w:hint="default"/>
      </w:rPr>
    </w:lvl>
    <w:lvl w:ilvl="7" w:tplc="9320C7A2">
      <w:start w:val="1"/>
      <w:numFmt w:val="bullet"/>
      <w:lvlText w:val="o"/>
      <w:lvlJc w:val="left"/>
      <w:pPr>
        <w:ind w:left="5760" w:hanging="360"/>
      </w:pPr>
      <w:rPr>
        <w:rFonts w:ascii="Courier New" w:hAnsi="Courier New" w:hint="default"/>
      </w:rPr>
    </w:lvl>
    <w:lvl w:ilvl="8" w:tplc="20386954">
      <w:start w:val="1"/>
      <w:numFmt w:val="bullet"/>
      <w:lvlText w:val=""/>
      <w:lvlJc w:val="left"/>
      <w:pPr>
        <w:ind w:left="6480" w:hanging="360"/>
      </w:pPr>
      <w:rPr>
        <w:rFonts w:ascii="Wingdings" w:hAnsi="Wingdings" w:hint="default"/>
      </w:rPr>
    </w:lvl>
  </w:abstractNum>
  <w:abstractNum w:abstractNumId="13" w15:restartNumberingAfterBreak="0">
    <w:nsid w:val="7F326710"/>
    <w:multiLevelType w:val="hybridMultilevel"/>
    <w:tmpl w:val="FFFFFFFF"/>
    <w:lvl w:ilvl="0" w:tplc="192C0F0A">
      <w:start w:val="1"/>
      <w:numFmt w:val="bullet"/>
      <w:lvlText w:val="-"/>
      <w:lvlJc w:val="left"/>
      <w:pPr>
        <w:ind w:left="720" w:hanging="360"/>
      </w:pPr>
      <w:rPr>
        <w:rFonts w:ascii="Calibri" w:hAnsi="Calibri" w:hint="default"/>
      </w:rPr>
    </w:lvl>
    <w:lvl w:ilvl="1" w:tplc="727A3F0E">
      <w:start w:val="1"/>
      <w:numFmt w:val="bullet"/>
      <w:lvlText w:val="o"/>
      <w:lvlJc w:val="left"/>
      <w:pPr>
        <w:ind w:left="1440" w:hanging="360"/>
      </w:pPr>
      <w:rPr>
        <w:rFonts w:ascii="Courier New" w:hAnsi="Courier New" w:hint="default"/>
      </w:rPr>
    </w:lvl>
    <w:lvl w:ilvl="2" w:tplc="6B46EA1A">
      <w:start w:val="1"/>
      <w:numFmt w:val="bullet"/>
      <w:lvlText w:val=""/>
      <w:lvlJc w:val="left"/>
      <w:pPr>
        <w:ind w:left="2160" w:hanging="360"/>
      </w:pPr>
      <w:rPr>
        <w:rFonts w:ascii="Wingdings" w:hAnsi="Wingdings" w:hint="default"/>
      </w:rPr>
    </w:lvl>
    <w:lvl w:ilvl="3" w:tplc="80E66CAA">
      <w:start w:val="1"/>
      <w:numFmt w:val="bullet"/>
      <w:lvlText w:val=""/>
      <w:lvlJc w:val="left"/>
      <w:pPr>
        <w:ind w:left="2880" w:hanging="360"/>
      </w:pPr>
      <w:rPr>
        <w:rFonts w:ascii="Symbol" w:hAnsi="Symbol" w:hint="default"/>
      </w:rPr>
    </w:lvl>
    <w:lvl w:ilvl="4" w:tplc="35C2B3A2">
      <w:start w:val="1"/>
      <w:numFmt w:val="bullet"/>
      <w:lvlText w:val="o"/>
      <w:lvlJc w:val="left"/>
      <w:pPr>
        <w:ind w:left="3600" w:hanging="360"/>
      </w:pPr>
      <w:rPr>
        <w:rFonts w:ascii="Courier New" w:hAnsi="Courier New" w:hint="default"/>
      </w:rPr>
    </w:lvl>
    <w:lvl w:ilvl="5" w:tplc="C5503FA8">
      <w:start w:val="1"/>
      <w:numFmt w:val="bullet"/>
      <w:lvlText w:val=""/>
      <w:lvlJc w:val="left"/>
      <w:pPr>
        <w:ind w:left="4320" w:hanging="360"/>
      </w:pPr>
      <w:rPr>
        <w:rFonts w:ascii="Wingdings" w:hAnsi="Wingdings" w:hint="default"/>
      </w:rPr>
    </w:lvl>
    <w:lvl w:ilvl="6" w:tplc="5BD8CF06">
      <w:start w:val="1"/>
      <w:numFmt w:val="bullet"/>
      <w:lvlText w:val=""/>
      <w:lvlJc w:val="left"/>
      <w:pPr>
        <w:ind w:left="5040" w:hanging="360"/>
      </w:pPr>
      <w:rPr>
        <w:rFonts w:ascii="Symbol" w:hAnsi="Symbol" w:hint="default"/>
      </w:rPr>
    </w:lvl>
    <w:lvl w:ilvl="7" w:tplc="99A4A7DE">
      <w:start w:val="1"/>
      <w:numFmt w:val="bullet"/>
      <w:lvlText w:val="o"/>
      <w:lvlJc w:val="left"/>
      <w:pPr>
        <w:ind w:left="5760" w:hanging="360"/>
      </w:pPr>
      <w:rPr>
        <w:rFonts w:ascii="Courier New" w:hAnsi="Courier New" w:hint="default"/>
      </w:rPr>
    </w:lvl>
    <w:lvl w:ilvl="8" w:tplc="9E08449A">
      <w:start w:val="1"/>
      <w:numFmt w:val="bullet"/>
      <w:lvlText w:val=""/>
      <w:lvlJc w:val="left"/>
      <w:pPr>
        <w:ind w:left="6480" w:hanging="360"/>
      </w:pPr>
      <w:rPr>
        <w:rFonts w:ascii="Wingdings" w:hAnsi="Wingdings" w:hint="default"/>
      </w:rPr>
    </w:lvl>
  </w:abstractNum>
  <w:num w:numId="1" w16cid:durableId="1537616882">
    <w:abstractNumId w:val="3"/>
  </w:num>
  <w:num w:numId="2" w16cid:durableId="519203767">
    <w:abstractNumId w:val="6"/>
  </w:num>
  <w:num w:numId="3" w16cid:durableId="1119688163">
    <w:abstractNumId w:val="0"/>
  </w:num>
  <w:num w:numId="4" w16cid:durableId="1728262367">
    <w:abstractNumId w:val="1"/>
  </w:num>
  <w:num w:numId="5" w16cid:durableId="713189872">
    <w:abstractNumId w:val="7"/>
  </w:num>
  <w:num w:numId="6" w16cid:durableId="1955162925">
    <w:abstractNumId w:val="4"/>
  </w:num>
  <w:num w:numId="7" w16cid:durableId="61173891">
    <w:abstractNumId w:val="13"/>
  </w:num>
  <w:num w:numId="8" w16cid:durableId="217594603">
    <w:abstractNumId w:val="5"/>
  </w:num>
  <w:num w:numId="9" w16cid:durableId="438722657">
    <w:abstractNumId w:val="10"/>
  </w:num>
  <w:num w:numId="10" w16cid:durableId="937178711">
    <w:abstractNumId w:val="8"/>
  </w:num>
  <w:num w:numId="11" w16cid:durableId="1934318085">
    <w:abstractNumId w:val="12"/>
  </w:num>
  <w:num w:numId="12" w16cid:durableId="913509292">
    <w:abstractNumId w:val="2"/>
  </w:num>
  <w:num w:numId="13" w16cid:durableId="328868962">
    <w:abstractNumId w:val="9"/>
  </w:num>
  <w:num w:numId="14" w16cid:durableId="8738059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9F9"/>
    <w:rsid w:val="00087859"/>
    <w:rsid w:val="001006AE"/>
    <w:rsid w:val="001A3B75"/>
    <w:rsid w:val="001C04FF"/>
    <w:rsid w:val="00234016"/>
    <w:rsid w:val="00287C3C"/>
    <w:rsid w:val="002B2DA4"/>
    <w:rsid w:val="003F182E"/>
    <w:rsid w:val="00470EA2"/>
    <w:rsid w:val="004F7856"/>
    <w:rsid w:val="005C212B"/>
    <w:rsid w:val="005F4186"/>
    <w:rsid w:val="00683896"/>
    <w:rsid w:val="006E7A91"/>
    <w:rsid w:val="0073430F"/>
    <w:rsid w:val="00800BCF"/>
    <w:rsid w:val="00865EBB"/>
    <w:rsid w:val="008B6E95"/>
    <w:rsid w:val="00907CA9"/>
    <w:rsid w:val="00926B92"/>
    <w:rsid w:val="00990D5D"/>
    <w:rsid w:val="00994BDD"/>
    <w:rsid w:val="009B564E"/>
    <w:rsid w:val="00A356B5"/>
    <w:rsid w:val="00A821D8"/>
    <w:rsid w:val="00AF63D6"/>
    <w:rsid w:val="00B06497"/>
    <w:rsid w:val="00B73A64"/>
    <w:rsid w:val="00C57C70"/>
    <w:rsid w:val="00C65878"/>
    <w:rsid w:val="00C806D5"/>
    <w:rsid w:val="00CF537C"/>
    <w:rsid w:val="00DB4B99"/>
    <w:rsid w:val="00E567CC"/>
    <w:rsid w:val="00F319F9"/>
    <w:rsid w:val="0314FEFF"/>
    <w:rsid w:val="04E2E27A"/>
    <w:rsid w:val="07FEA8A9"/>
    <w:rsid w:val="095A0FC4"/>
    <w:rsid w:val="0B0522BE"/>
    <w:rsid w:val="0B06E887"/>
    <w:rsid w:val="0C5E8C42"/>
    <w:rsid w:val="1403F796"/>
    <w:rsid w:val="177DE460"/>
    <w:rsid w:val="1B9C18EB"/>
    <w:rsid w:val="21AB4A62"/>
    <w:rsid w:val="26AEF20F"/>
    <w:rsid w:val="30BDCA8A"/>
    <w:rsid w:val="313E7C11"/>
    <w:rsid w:val="3549C690"/>
    <w:rsid w:val="36A6AA21"/>
    <w:rsid w:val="37C90921"/>
    <w:rsid w:val="3C5DE5D6"/>
    <w:rsid w:val="3F3EB5D1"/>
    <w:rsid w:val="3F9110F2"/>
    <w:rsid w:val="40DA8632"/>
    <w:rsid w:val="419861FE"/>
    <w:rsid w:val="41AF4818"/>
    <w:rsid w:val="42CB78B1"/>
    <w:rsid w:val="46C1DDA9"/>
    <w:rsid w:val="474B3DF7"/>
    <w:rsid w:val="4C6AD9A4"/>
    <w:rsid w:val="4CB07A34"/>
    <w:rsid w:val="4EB6A4F9"/>
    <w:rsid w:val="5260A9C7"/>
    <w:rsid w:val="53A568E9"/>
    <w:rsid w:val="60614411"/>
    <w:rsid w:val="6090E7DE"/>
    <w:rsid w:val="6A85905B"/>
    <w:rsid w:val="71D43EE5"/>
    <w:rsid w:val="796C56EF"/>
    <w:rsid w:val="7D34CE82"/>
    <w:rsid w:val="7D42FB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B97F"/>
  <w15:docId w15:val="{96179145-4DB9-48C2-B81B-5ADC9FE4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6" w:lineRule="auto"/>
      <w:ind w:left="10" w:hanging="9"/>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numPr>
        <w:numId w:val="2"/>
      </w:numPr>
      <w:spacing w:after="221" w:line="259" w:lineRule="auto"/>
      <w:ind w:left="11" w:hanging="10"/>
      <w:outlineLvl w:val="0"/>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DB4B99"/>
    <w:pPr>
      <w:tabs>
        <w:tab w:val="center" w:pos="4513"/>
        <w:tab w:val="right" w:pos="9026"/>
      </w:tabs>
      <w:spacing w:line="240" w:lineRule="auto"/>
    </w:pPr>
  </w:style>
  <w:style w:type="character" w:customStyle="1" w:styleId="HeaderChar">
    <w:name w:val="Header Char"/>
    <w:basedOn w:val="DefaultParagraphFont"/>
    <w:link w:val="Header"/>
    <w:uiPriority w:val="99"/>
    <w:rsid w:val="00DB4B99"/>
    <w:rPr>
      <w:rFonts w:ascii="Calibri" w:eastAsia="Calibri" w:hAnsi="Calibri" w:cs="Calibri"/>
      <w:color w:val="000000"/>
      <w:sz w:val="22"/>
      <w:lang w:bidi="en-GB"/>
    </w:rPr>
  </w:style>
  <w:style w:type="paragraph" w:styleId="Footer">
    <w:name w:val="footer"/>
    <w:basedOn w:val="Normal"/>
    <w:link w:val="FooterChar"/>
    <w:uiPriority w:val="99"/>
    <w:semiHidden/>
    <w:unhideWhenUsed/>
    <w:rsid w:val="00DB4B9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B4B99"/>
    <w:rPr>
      <w:rFonts w:ascii="Calibri" w:eastAsia="Calibri" w:hAnsi="Calibri" w:cs="Calibri"/>
      <w:color w:val="000000"/>
      <w:sz w:val="22"/>
      <w:lang w:bidi="en-GB"/>
    </w:rPr>
  </w:style>
  <w:style w:type="paragraph" w:styleId="ListParagraph">
    <w:name w:val="List Paragraph"/>
    <w:basedOn w:val="Normal"/>
    <w:uiPriority w:val="34"/>
    <w:qFormat/>
    <w:rsid w:val="00DB4B99"/>
    <w:pPr>
      <w:ind w:left="720"/>
      <w:contextualSpacing/>
    </w:pPr>
  </w:style>
  <w:style w:type="character" w:styleId="Hyperlink">
    <w:name w:val="Hyperlink"/>
    <w:basedOn w:val="DefaultParagraphFont"/>
    <w:uiPriority w:val="99"/>
    <w:unhideWhenUsed/>
    <w:rsid w:val="00DB4B99"/>
    <w:rPr>
      <w:color w:val="0563C1" w:themeColor="hyperlink"/>
      <w:u w:val="single"/>
    </w:rPr>
  </w:style>
  <w:style w:type="paragraph" w:styleId="CommentText">
    <w:name w:val="annotation text"/>
    <w:basedOn w:val="Normal"/>
    <w:link w:val="CommentTextChar"/>
    <w:uiPriority w:val="99"/>
    <w:semiHidden/>
    <w:unhideWhenUsed/>
    <w:rsid w:val="00DB4B99"/>
    <w:pPr>
      <w:spacing w:line="240" w:lineRule="auto"/>
    </w:pPr>
    <w:rPr>
      <w:sz w:val="20"/>
      <w:szCs w:val="20"/>
    </w:rPr>
  </w:style>
  <w:style w:type="character" w:customStyle="1" w:styleId="CommentTextChar">
    <w:name w:val="Comment Text Char"/>
    <w:basedOn w:val="DefaultParagraphFont"/>
    <w:link w:val="CommentText"/>
    <w:uiPriority w:val="99"/>
    <w:semiHidden/>
    <w:rsid w:val="00DB4B99"/>
    <w:rPr>
      <w:rFonts w:ascii="Calibri" w:eastAsia="Calibri" w:hAnsi="Calibri" w:cs="Calibri"/>
      <w:color w:val="000000"/>
      <w:sz w:val="20"/>
      <w:szCs w:val="20"/>
      <w:lang w:bidi="en-GB"/>
    </w:rPr>
  </w:style>
  <w:style w:type="character" w:styleId="CommentReference">
    <w:name w:val="annotation reference"/>
    <w:basedOn w:val="DefaultParagraphFont"/>
    <w:uiPriority w:val="99"/>
    <w:semiHidden/>
    <w:unhideWhenUsed/>
    <w:rsid w:val="00DB4B99"/>
    <w:rPr>
      <w:sz w:val="16"/>
      <w:szCs w:val="16"/>
    </w:rPr>
  </w:style>
  <w:style w:type="character" w:customStyle="1" w:styleId="caps">
    <w:name w:val="caps"/>
    <w:basedOn w:val="DefaultParagraphFont"/>
    <w:rsid w:val="002B2DA4"/>
  </w:style>
  <w:style w:type="paragraph" w:customStyle="1" w:styleId="paragraph">
    <w:name w:val="paragraph"/>
    <w:basedOn w:val="Normal"/>
    <w:rsid w:val="002B2DA4"/>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normaltextrun">
    <w:name w:val="normaltextrun"/>
    <w:basedOn w:val="DefaultParagraphFont"/>
    <w:rsid w:val="002B2DA4"/>
  </w:style>
  <w:style w:type="character" w:customStyle="1" w:styleId="eop">
    <w:name w:val="eop"/>
    <w:basedOn w:val="DefaultParagraphFont"/>
    <w:rsid w:val="002B2DA4"/>
  </w:style>
  <w:style w:type="paragraph" w:styleId="BalloonText">
    <w:name w:val="Balloon Text"/>
    <w:basedOn w:val="Normal"/>
    <w:link w:val="BalloonTextChar"/>
    <w:uiPriority w:val="99"/>
    <w:semiHidden/>
    <w:unhideWhenUsed/>
    <w:rsid w:val="000878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859"/>
    <w:rPr>
      <w:rFonts w:ascii="Segoe UI" w:eastAsia="Calibri" w:hAnsi="Segoe UI" w:cs="Segoe UI"/>
      <w:color w:val="000000"/>
      <w:sz w:val="18"/>
      <w:szCs w:val="18"/>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2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gistry.southwales.ac.uk/student-regulations/regulations-taught-cours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registry.southwales.ac.uk/student-regulations/regulations-taught-cours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pplewebdata://9471C097-7B15-4324-8D3A-43B87D7C1F9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registry.southwales.ac.uk/student-regulations/regulations-taught-courses/"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gistry.southwales.ac.uk/student-regulations/regulations-taught-cours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79B9B4104DD4884258BFA7482353A" ma:contentTypeVersion="14" ma:contentTypeDescription="Create a new document." ma:contentTypeScope="" ma:versionID="bbc4e6482a972d23641854604af89053">
  <xsd:schema xmlns:xsd="http://www.w3.org/2001/XMLSchema" xmlns:xs="http://www.w3.org/2001/XMLSchema" xmlns:p="http://schemas.microsoft.com/office/2006/metadata/properties" xmlns:ns3="d8653902-59a3-4c27-af57-9801dc38c610" xmlns:ns4="9d65a91c-5431-4ff5-a944-75cff58f5b55" targetNamespace="http://schemas.microsoft.com/office/2006/metadata/properties" ma:root="true" ma:fieldsID="f3cf80788f6521113a51449a8c6b8803" ns3:_="" ns4:_="">
    <xsd:import namespace="d8653902-59a3-4c27-af57-9801dc38c610"/>
    <xsd:import namespace="9d65a91c-5431-4ff5-a944-75cff58f5b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53902-59a3-4c27-af57-9801dc38c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65a91c-5431-4ff5-a944-75cff58f5b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9D3CB-96E6-4470-AB5D-E011F7BC25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E2DCE-9F66-4034-A28E-52DA118B8974}">
  <ds:schemaRefs>
    <ds:schemaRef ds:uri="http://schemas.microsoft.com/sharepoint/v3/contenttype/forms"/>
  </ds:schemaRefs>
</ds:datastoreItem>
</file>

<file path=customXml/itemProps3.xml><?xml version="1.0" encoding="utf-8"?>
<ds:datastoreItem xmlns:ds="http://schemas.openxmlformats.org/officeDocument/2006/customXml" ds:itemID="{314586F8-96EE-42BD-8B21-585966CD9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53902-59a3-4c27-af57-9801dc38c610"/>
    <ds:schemaRef ds:uri="9d65a91c-5431-4ff5-a944-75cff58f5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53f0066-c24e-444c-9c2a-7427c31ebeab}" enabled="1" method="Standard" siteId="{e5aafe7c-971b-4ab7-b039-141ad36acec0}" contentBits="1" removed="0"/>
</clbl:labelList>
</file>

<file path=docProps/app.xml><?xml version="1.0" encoding="utf-8"?>
<Properties xmlns="http://schemas.openxmlformats.org/officeDocument/2006/extended-properties" xmlns:vt="http://schemas.openxmlformats.org/officeDocument/2006/docPropsVTypes">
  <Template>Normal.dotm</Template>
  <TotalTime>83</TotalTime>
  <Pages>5</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Daniel</dc:creator>
  <cp:keywords/>
  <cp:lastModifiedBy>Bethan Daniel</cp:lastModifiedBy>
  <cp:revision>10</cp:revision>
  <dcterms:created xsi:type="dcterms:W3CDTF">2022-06-09T09:45:00Z</dcterms:created>
  <dcterms:modified xsi:type="dcterms:W3CDTF">2023-03-15T14:42:00Z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0x0101002FD79B9B4104DD4884258BFA7482353A</vt:lpwstr>
  </property>
  <property fmtid="{D5CDD505-2E9C-101B-9397-08002B2CF9AE}" pid="3" name="ClassificationContentMarkingHeaderShapeIds">
    <vt:lpwstr>3,4,5</vt:lpwstr>
  </property>
  <property fmtid="{D5CDD505-2E9C-101B-9397-08002B2CF9AE}" pid="4" name="ClassificationContentMarkingHeaderFontProps">
    <vt:lpwstr>#000000,10,Calibri</vt:lpwstr>
  </property>
  <property fmtid="{D5CDD505-2E9C-101B-9397-08002B2CF9AE}" pid="5" name="ClassificationContentMarkingHeaderText">
    <vt:lpwstr>PUBLIC / CYHOEDDUS</vt:lpwstr>
  </property>
  <property fmtid="{D5CDD505-2E9C-101B-9397-08002B2CF9AE}" pid="6" name="MSIP_Label_553f0066-c24e-444c-9c2a-7427c31ebeab_Enabled">
    <vt:lpwstr>True</vt:lpwstr>
  </property>
  <property fmtid="{D5CDD505-2E9C-101B-9397-08002B2CF9AE}" pid="7" name="MSIP_Label_553f0066-c24e-444c-9c2a-7427c31ebeab_SiteId">
    <vt:lpwstr>e5aafe7c-971b-4ab7-b039-141ad36acec0</vt:lpwstr>
  </property>
  <property fmtid="{D5CDD505-2E9C-101B-9397-08002B2CF9AE}" pid="8" name="MSIP_Label_553f0066-c24e-444c-9c2a-7427c31ebeab_ActionId">
    <vt:lpwstr>c8deddba-9dc4-4a94-ac04-071bccaa0db7</vt:lpwstr>
  </property>
  <property fmtid="{D5CDD505-2E9C-101B-9397-08002B2CF9AE}" pid="9" name="MSIP_Label_553f0066-c24e-444c-9c2a-7427c31ebeab_Method">
    <vt:lpwstr>Standard</vt:lpwstr>
  </property>
  <property fmtid="{D5CDD505-2E9C-101B-9397-08002B2CF9AE}" pid="10" name="MSIP_Label_553f0066-c24e-444c-9c2a-7427c31ebeab_SetDate">
    <vt:lpwstr>2021-05-18T12:59:25Z</vt:lpwstr>
  </property>
  <property fmtid="{D5CDD505-2E9C-101B-9397-08002B2CF9AE}" pid="11" name="MSIP_Label_553f0066-c24e-444c-9c2a-7427c31ebeab_Name">
    <vt:lpwstr>553f0066-c24e-444c-9c2a-7427c31ebeab</vt:lpwstr>
  </property>
  <property fmtid="{D5CDD505-2E9C-101B-9397-08002B2CF9AE}" pid="12" name="MSIP_Label_553f0066-c24e-444c-9c2a-7427c31ebeab_ContentBits">
    <vt:lpwstr>1</vt:lpwstr>
  </property>
</Properties>
</file>